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5399" w:rsidR="00E65399" w:rsidRDefault="00001C64" w14:paraId="29923875" w14:textId="77777777">
      <w:pPr>
        <w:rPr>
          <w:rFonts w:ascii="Calibri" w:hAnsi="Calibri" w:cs="Calibri"/>
        </w:rPr>
      </w:pPr>
      <w:r w:rsidRPr="00E65399">
        <w:rPr>
          <w:rFonts w:ascii="Calibri" w:hAnsi="Calibri" w:cs="Calibri"/>
        </w:rPr>
        <w:t>22054</w:t>
      </w:r>
      <w:r w:rsidRPr="00E65399" w:rsidR="00E65399">
        <w:rPr>
          <w:rFonts w:ascii="Calibri" w:hAnsi="Calibri" w:cs="Calibri"/>
        </w:rPr>
        <w:tab/>
      </w:r>
      <w:r w:rsidRPr="00E65399" w:rsidR="00E65399">
        <w:rPr>
          <w:rFonts w:ascii="Calibri" w:hAnsi="Calibri" w:cs="Calibri"/>
        </w:rPr>
        <w:tab/>
      </w:r>
      <w:r w:rsidRPr="00E65399" w:rsidR="00E65399">
        <w:rPr>
          <w:rFonts w:ascii="Calibri" w:hAnsi="Calibri" w:cs="Calibri"/>
        </w:rPr>
        <w:tab/>
        <w:t>Wapenexportbeleid</w:t>
      </w:r>
    </w:p>
    <w:p w:rsidRPr="00E65399" w:rsidR="00E65399" w:rsidP="00E65399" w:rsidRDefault="00E65399" w14:paraId="4E863AC0" w14:textId="693A471A">
      <w:pPr>
        <w:ind w:left="2124" w:hanging="2124"/>
        <w:rPr>
          <w:rFonts w:ascii="Calibri" w:hAnsi="Calibri" w:cs="Calibri"/>
          <w:spacing w:val="-3"/>
        </w:rPr>
      </w:pPr>
      <w:r w:rsidRPr="00E65399">
        <w:rPr>
          <w:rFonts w:ascii="Calibri" w:hAnsi="Calibri" w:cs="Calibri"/>
        </w:rPr>
        <w:t xml:space="preserve">Nr. </w:t>
      </w:r>
      <w:r w:rsidRPr="00E65399">
        <w:rPr>
          <w:rFonts w:ascii="Calibri" w:hAnsi="Calibri" w:cs="Calibri"/>
        </w:rPr>
        <w:t>490</w:t>
      </w:r>
      <w:r w:rsidRPr="00E65399">
        <w:rPr>
          <w:rFonts w:ascii="Calibri" w:hAnsi="Calibri" w:cs="Calibri"/>
        </w:rPr>
        <w:tab/>
        <w:t xml:space="preserve">Brief van de ministers van </w:t>
      </w:r>
      <w:r w:rsidRPr="00E65399">
        <w:rPr>
          <w:rFonts w:ascii="Calibri" w:hAnsi="Calibri" w:cs="Calibri"/>
          <w:color w:val="000000"/>
        </w:rPr>
        <w:t xml:space="preserve">Buitenlandse Handel en Ontwikkelingssamenwerking en van </w:t>
      </w:r>
      <w:r w:rsidRPr="00E65399">
        <w:rPr>
          <w:rFonts w:ascii="Calibri" w:hAnsi="Calibri" w:cs="Calibri"/>
          <w:spacing w:val="-3"/>
        </w:rPr>
        <w:t>Buitenlandse Zaken</w:t>
      </w:r>
    </w:p>
    <w:p w:rsidRPr="00E65399" w:rsidR="00E65399" w:rsidP="00CD5DDD" w:rsidRDefault="00E65399" w14:paraId="38990E2A" w14:textId="75D2C116">
      <w:pPr>
        <w:spacing w:line="276" w:lineRule="auto"/>
        <w:rPr>
          <w:rFonts w:ascii="Calibri" w:hAnsi="Calibri" w:cs="Calibri"/>
        </w:rPr>
      </w:pPr>
      <w:r w:rsidRPr="00E65399">
        <w:rPr>
          <w:rFonts w:ascii="Calibri" w:hAnsi="Calibri" w:cs="Calibri"/>
        </w:rPr>
        <w:t>Aan de Voorzitter van de Tweede Kamer der Staten-Generaal</w:t>
      </w:r>
    </w:p>
    <w:p w:rsidRPr="00E65399" w:rsidR="00E65399" w:rsidP="00CD5DDD" w:rsidRDefault="00E65399" w14:paraId="7646E903" w14:textId="06EB439D">
      <w:pPr>
        <w:spacing w:line="276" w:lineRule="auto"/>
        <w:rPr>
          <w:rFonts w:ascii="Calibri" w:hAnsi="Calibri" w:cs="Calibri"/>
        </w:rPr>
      </w:pPr>
      <w:r w:rsidRPr="00E65399">
        <w:rPr>
          <w:rFonts w:ascii="Calibri" w:hAnsi="Calibri" w:cs="Calibri"/>
        </w:rPr>
        <w:t>Den Haag, 19 augustus 2026</w:t>
      </w:r>
    </w:p>
    <w:p w:rsidRPr="00E65399" w:rsidR="00CD5DDD" w:rsidP="00CD5DDD" w:rsidRDefault="00CD5DDD" w14:paraId="649A213E" w14:textId="77777777">
      <w:pPr>
        <w:spacing w:line="276" w:lineRule="auto"/>
        <w:rPr>
          <w:rFonts w:ascii="Calibri" w:hAnsi="Calibri" w:cs="Calibri"/>
        </w:rPr>
      </w:pPr>
    </w:p>
    <w:p w:rsidRPr="00E65399" w:rsidR="00CD5DDD" w:rsidP="00CD5DDD" w:rsidRDefault="00CD5DDD" w14:paraId="3BB33F3E" w14:textId="77777777">
      <w:pPr>
        <w:spacing w:line="276" w:lineRule="auto"/>
        <w:rPr>
          <w:rFonts w:ascii="Calibri" w:hAnsi="Calibri" w:cs="Calibri"/>
        </w:rPr>
      </w:pPr>
      <w:r w:rsidRPr="00E65399">
        <w:rPr>
          <w:rFonts w:ascii="Calibri" w:hAnsi="Calibri" w:cs="Calibri"/>
        </w:rPr>
        <w:t xml:space="preserve">Conform het op 10 juni 2011 per brief gemelde aangescherpte wapenexportbeleid (Kamerstuk 2010-2011, 22 054, nr. 165) en de motie van het lid El </w:t>
      </w:r>
      <w:proofErr w:type="spellStart"/>
      <w:r w:rsidRPr="00E65399">
        <w:rPr>
          <w:rFonts w:ascii="Calibri" w:hAnsi="Calibri" w:cs="Calibri"/>
        </w:rPr>
        <w:t>Fassed</w:t>
      </w:r>
      <w:proofErr w:type="spellEnd"/>
      <w:r w:rsidRPr="00E65399">
        <w:rPr>
          <w:rFonts w:ascii="Calibri" w:hAnsi="Calibri" w:cs="Calibri"/>
        </w:rPr>
        <w:t xml:space="preserve"> c.s. van 22 december 2011 over verlaging van de drempelwaarde voor de versnelde parlementaire controle bij specifieke wapenexportaanvragen naar € 2.000.000,- (Kamerstuk 2011-2012, 22 054, nr. 181), ontvangt uw Kamer onderstaande informatie over een door Nederland afgegeven vergunning ter waarde van €9.865.000,- voor uitvoer van militair materieel naar Vietnam.</w:t>
      </w:r>
    </w:p>
    <w:p w:rsidRPr="00E65399" w:rsidR="00CD5DDD" w:rsidP="00CD5DDD" w:rsidRDefault="00CD5DDD" w14:paraId="73A036BA" w14:textId="77777777">
      <w:pPr>
        <w:spacing w:line="276" w:lineRule="auto"/>
        <w:rPr>
          <w:rFonts w:ascii="Calibri" w:hAnsi="Calibri" w:cs="Calibri"/>
        </w:rPr>
      </w:pPr>
      <w:r w:rsidRPr="00E65399">
        <w:rPr>
          <w:rFonts w:ascii="Calibri" w:hAnsi="Calibri" w:cs="Calibri"/>
        </w:rPr>
        <w:t>Een Nederlands bedrijf heeft onlangs een exportvergunning verkregen voor de uitvoer naar Vietnam van een radarsysteem met bijbehorende technologie. Het systeem komt in dienst van de Vietnamese marine en zal worden ingebouwd in een korvet bedoeld om de soevereiniteit van Vietnam te beschermen.</w:t>
      </w:r>
    </w:p>
    <w:p w:rsidRPr="00E65399" w:rsidR="00CD5DDD" w:rsidP="00CD5DDD" w:rsidRDefault="00CD5DDD" w14:paraId="646FAA8E" w14:textId="77777777">
      <w:pPr>
        <w:spacing w:line="276" w:lineRule="auto"/>
        <w:rPr>
          <w:rFonts w:ascii="Calibri" w:hAnsi="Calibri" w:cs="Calibri"/>
        </w:rPr>
      </w:pPr>
      <w:r w:rsidRPr="00E65399">
        <w:rPr>
          <w:rFonts w:ascii="Calibri" w:hAnsi="Calibri" w:cs="Calibri"/>
        </w:rPr>
        <w:t>De aanvraag is getoetst aan de acht criteria van het EU Gemeenschappelijk Standpunt inzake wapenexport.</w:t>
      </w:r>
      <w:r w:rsidRPr="00E65399">
        <w:rPr>
          <w:rStyle w:val="Voetnootmarkering"/>
          <w:rFonts w:ascii="Calibri" w:hAnsi="Calibri" w:cs="Calibri"/>
        </w:rPr>
        <w:footnoteReference w:id="1"/>
      </w:r>
      <w:r w:rsidRPr="00E65399">
        <w:rPr>
          <w:rFonts w:ascii="Calibri" w:hAnsi="Calibri" w:cs="Calibri"/>
        </w:rPr>
        <w:t xml:space="preserve"> Deze toetsing, waarvan de essentie ten aanzien van de meest relevante criteria hieronder wordt weergegeven, leidde tot het afgeven van de vergunning op basis van de volgende argumenten:</w:t>
      </w:r>
    </w:p>
    <w:p w:rsidRPr="00E65399" w:rsidR="00CD5DDD" w:rsidP="00CD5DDD" w:rsidRDefault="00CD5DDD" w14:paraId="2BD96447" w14:textId="77777777">
      <w:pPr>
        <w:spacing w:line="276" w:lineRule="auto"/>
        <w:rPr>
          <w:rFonts w:ascii="Calibri" w:hAnsi="Calibri" w:cs="Calibri"/>
          <w:u w:val="single"/>
        </w:rPr>
      </w:pPr>
      <w:r w:rsidRPr="00E65399">
        <w:rPr>
          <w:rFonts w:ascii="Calibri" w:hAnsi="Calibri" w:cs="Calibri"/>
          <w:u w:val="single"/>
        </w:rPr>
        <w:t>Handhaving regionale stabiliteit (CR4)</w:t>
      </w:r>
    </w:p>
    <w:p w:rsidRPr="00E65399" w:rsidR="00CD5DDD" w:rsidP="00CD5DDD" w:rsidRDefault="00CD5DDD" w14:paraId="4DE8BA7B" w14:textId="77777777">
      <w:pPr>
        <w:spacing w:line="276" w:lineRule="auto"/>
        <w:rPr>
          <w:rFonts w:ascii="Calibri" w:hAnsi="Calibri" w:cs="Calibri"/>
        </w:rPr>
      </w:pPr>
      <w:r w:rsidRPr="00E65399">
        <w:rPr>
          <w:rFonts w:ascii="Calibri" w:hAnsi="Calibri" w:cs="Calibri"/>
        </w:rPr>
        <w:t xml:space="preserve">De veiligheidssituatie in de Zuid-Chinese Zee wordt gekenmerkt door overlappende territoriale claims en periodieke spanningen. Tegen deze achtergrond heeft Vietnam zijn defensieve capaciteiten gericht versterkt, met een duidelijke focus op de maritieme sfeer en het beschermen van bestaande aanspraken. </w:t>
      </w:r>
    </w:p>
    <w:p w:rsidRPr="00E65399" w:rsidR="00CD5DDD" w:rsidP="00CD5DDD" w:rsidRDefault="00CD5DDD" w14:paraId="5B45EEDA" w14:textId="77777777">
      <w:pPr>
        <w:spacing w:line="276" w:lineRule="auto"/>
        <w:rPr>
          <w:rFonts w:ascii="Calibri" w:hAnsi="Calibri" w:cs="Calibri"/>
        </w:rPr>
      </w:pPr>
      <w:r w:rsidRPr="00E65399">
        <w:rPr>
          <w:rFonts w:ascii="Calibri" w:hAnsi="Calibri" w:cs="Calibri"/>
        </w:rPr>
        <w:t xml:space="preserve">Van belang is dat Vietnam een consistent niet-gebonden buitenlands en veiligheidsbeleid voert, waarin het afziet van militaire allianties, het kiezen van partijen en het gebruik of dreigen met geweld in zijn internationale betrekkingen. Hierdoor worden de militaire ontwikkelingen internationaal overwegend als defensief en stabiliserend beoordeeld. Er zijn geen aanwijzingen dat Vietnam deze capaciteiten inzet of wil inzetten voor escalatie van regionale spanningen. Gelet op deze context draagt de voorgenomen inzet niet bij aan het aanwakkeren van conflicten of instabiliteit in de regio. Toetsing aan criterium 4 is </w:t>
      </w:r>
      <w:r w:rsidRPr="00E65399">
        <w:rPr>
          <w:rFonts w:ascii="Calibri" w:hAnsi="Calibri" w:cs="Calibri"/>
          <w:b/>
          <w:bCs/>
        </w:rPr>
        <w:t>positief</w:t>
      </w:r>
      <w:r w:rsidRPr="00E65399">
        <w:rPr>
          <w:rFonts w:ascii="Calibri" w:hAnsi="Calibri" w:cs="Calibri"/>
        </w:rPr>
        <w:t>.</w:t>
      </w:r>
    </w:p>
    <w:p w:rsidRPr="00E65399" w:rsidR="00CD5DDD" w:rsidP="00CD5DDD" w:rsidRDefault="00CD5DDD" w14:paraId="1CDBACF0" w14:textId="77777777">
      <w:pPr>
        <w:spacing w:line="276" w:lineRule="auto"/>
        <w:rPr>
          <w:rFonts w:ascii="Calibri" w:hAnsi="Calibri" w:cs="Calibri"/>
          <w:u w:val="single"/>
        </w:rPr>
      </w:pPr>
      <w:r w:rsidRPr="00E65399">
        <w:rPr>
          <w:rFonts w:ascii="Calibri" w:hAnsi="Calibri" w:cs="Calibri"/>
          <w:u w:val="single"/>
        </w:rPr>
        <w:t>Omleidingsrisico (CR7)</w:t>
      </w:r>
    </w:p>
    <w:p w:rsidRPr="00E65399" w:rsidR="00CD5DDD" w:rsidP="00CD5DDD" w:rsidRDefault="00CD5DDD" w14:paraId="32863DE4" w14:textId="77777777">
      <w:pPr>
        <w:spacing w:line="276" w:lineRule="auto"/>
        <w:rPr>
          <w:rFonts w:ascii="Calibri" w:hAnsi="Calibri" w:cs="Calibri"/>
        </w:rPr>
      </w:pPr>
      <w:r w:rsidRPr="00E65399">
        <w:rPr>
          <w:rFonts w:ascii="Calibri" w:hAnsi="Calibri" w:cs="Calibri"/>
        </w:rPr>
        <w:t xml:space="preserve">Toetsing aan criterium 7 richt zich op het risico van ongewenste omleiding of wederuitvoer. In algemene zin bestaat er in de regio aandacht voor naleving van sanctieregimes en eindgebruik, mede door signalen van omzeiling van sancties in delen van Azië. </w:t>
      </w:r>
    </w:p>
    <w:p w:rsidRPr="00E65399" w:rsidR="00CD5DDD" w:rsidP="00CD5DDD" w:rsidRDefault="00CD5DDD" w14:paraId="63013156" w14:textId="77777777">
      <w:pPr>
        <w:spacing w:line="276" w:lineRule="auto"/>
        <w:rPr>
          <w:rFonts w:ascii="Calibri" w:hAnsi="Calibri" w:cs="Calibri"/>
        </w:rPr>
      </w:pPr>
    </w:p>
    <w:p w:rsidRPr="00E65399" w:rsidR="00CD5DDD" w:rsidP="00CD5DDD" w:rsidRDefault="00CD5DDD" w14:paraId="3FCEA475" w14:textId="77777777">
      <w:pPr>
        <w:spacing w:line="276" w:lineRule="auto"/>
        <w:rPr>
          <w:rFonts w:ascii="Calibri" w:hAnsi="Calibri" w:cs="Calibri"/>
        </w:rPr>
      </w:pPr>
      <w:r w:rsidRPr="00E65399">
        <w:rPr>
          <w:rFonts w:ascii="Calibri" w:hAnsi="Calibri" w:cs="Calibri"/>
        </w:rPr>
        <w:t>Tegelijkertijd heeft het ontvangende land herhaaldelijk aangegeven internationale zorgen hierover serieus te nemen en mee te werken aan maatregelen ter borging van correct eindgebruik. Hoewel de bredere geopolitieke context en internationale contacten aanleiding geven tot verhoogde waakzaamheid, leidt dit op zichzelf niet tot de conclusie dat sprake is van een concreet en onaanvaardbaar omleidingsrisico in dit specifieke geval.</w:t>
      </w:r>
    </w:p>
    <w:p w:rsidRPr="00E65399" w:rsidR="00CD5DDD" w:rsidP="00CD5DDD" w:rsidRDefault="00CD5DDD" w14:paraId="7A6D11DF" w14:textId="77777777">
      <w:pPr>
        <w:spacing w:line="276" w:lineRule="auto"/>
        <w:rPr>
          <w:rFonts w:ascii="Calibri" w:hAnsi="Calibri" w:cs="Calibri"/>
          <w:b/>
          <w:bCs/>
        </w:rPr>
      </w:pPr>
      <w:r w:rsidRPr="00E65399">
        <w:rPr>
          <w:rFonts w:ascii="Calibri" w:hAnsi="Calibri" w:cs="Calibri"/>
        </w:rPr>
        <w:t xml:space="preserve">In de voorliggende casus zijn aanvullende, strikt vastgelegde contractuele waarborgen opgenomen om ongewenste betrokkenheid van derden en wederuitvoer te voorkomen. Deze waarborgen zien onder meer op het exclusieve eindgebruik, beperkingen op overdracht van technologie en informatie, bescherming tegen </w:t>
      </w:r>
      <w:r w:rsidRPr="00E65399">
        <w:rPr>
          <w:rFonts w:ascii="Calibri" w:hAnsi="Calibri" w:cs="Calibri"/>
          <w:i/>
          <w:iCs/>
        </w:rPr>
        <w:t>reverse engineering</w:t>
      </w:r>
      <w:r w:rsidRPr="00E65399">
        <w:rPr>
          <w:rFonts w:ascii="Calibri" w:hAnsi="Calibri" w:cs="Calibri"/>
        </w:rPr>
        <w:t xml:space="preserve"> en bindende procedures voor inspectie, acceptatie en levering op locatie. De naleving hiervan wordt gecontroleerd via meerdere formele </w:t>
      </w:r>
      <w:proofErr w:type="spellStart"/>
      <w:r w:rsidRPr="00E65399">
        <w:rPr>
          <w:rFonts w:ascii="Calibri" w:hAnsi="Calibri" w:cs="Calibri"/>
        </w:rPr>
        <w:t>toetsmomenten</w:t>
      </w:r>
      <w:proofErr w:type="spellEnd"/>
      <w:r w:rsidRPr="00E65399">
        <w:rPr>
          <w:rFonts w:ascii="Calibri" w:hAnsi="Calibri" w:cs="Calibri"/>
        </w:rPr>
        <w:t xml:space="preserve"> die integraal onderdeel uitmaken van het contractuele proces. Gelet op deze specifieke en afdwingbare risicobeperkende maatregelen is het risico op ongewenste omleiding substantieel gemitigeerd. Toetsing aan criterium 7 is daarmee </w:t>
      </w:r>
      <w:r w:rsidRPr="00E65399">
        <w:rPr>
          <w:rFonts w:ascii="Calibri" w:hAnsi="Calibri" w:cs="Calibri"/>
          <w:b/>
          <w:bCs/>
        </w:rPr>
        <w:t>positief.</w:t>
      </w:r>
    </w:p>
    <w:p w:rsidRPr="00E65399" w:rsidR="00CD5DDD" w:rsidP="00CD5DDD" w:rsidRDefault="00CD5DDD" w14:paraId="33CC7EAD" w14:textId="77777777">
      <w:pPr>
        <w:spacing w:line="276" w:lineRule="auto"/>
        <w:rPr>
          <w:rFonts w:ascii="Calibri" w:hAnsi="Calibri" w:cs="Calibri"/>
        </w:rPr>
      </w:pPr>
      <w:r w:rsidRPr="00E65399">
        <w:rPr>
          <w:rFonts w:ascii="Calibri" w:hAnsi="Calibri" w:cs="Calibri"/>
        </w:rPr>
        <w:t>Ten aanzien van de overige vijf criteria gelden geen bijzonderheden, deze zijn positief getoetst.</w:t>
      </w:r>
    </w:p>
    <w:p w:rsidRPr="00E65399" w:rsidR="00E65399" w:rsidP="00CD5DDD" w:rsidRDefault="00E65399" w14:paraId="42EC137C" w14:textId="77777777">
      <w:pPr>
        <w:spacing w:line="276" w:lineRule="auto"/>
        <w:rPr>
          <w:rFonts w:ascii="Calibri" w:hAnsi="Calibri" w:cs="Calibri"/>
        </w:rPr>
      </w:pPr>
    </w:p>
    <w:p w:rsidRPr="00E65399" w:rsidR="00CD5DDD" w:rsidP="00CD5DDD" w:rsidRDefault="00E65399" w14:paraId="47247F46" w14:textId="00B88C54">
      <w:pPr>
        <w:spacing w:line="276" w:lineRule="auto"/>
        <w:rPr>
          <w:rFonts w:ascii="Calibri" w:hAnsi="Calibri" w:cs="Calibri"/>
        </w:rPr>
      </w:pPr>
      <w:r w:rsidRPr="00E65399">
        <w:rPr>
          <w:rFonts w:ascii="Calibri" w:hAnsi="Calibri" w:cs="Calibri"/>
        </w:rPr>
        <w:t>De minister van Buitenlandse Handel en Ontwikkelingshulp,</w:t>
      </w:r>
      <w:r w:rsidRPr="00E65399">
        <w:rPr>
          <w:rFonts w:ascii="Calibri" w:hAnsi="Calibri" w:cs="Calibri"/>
        </w:rPr>
        <w:br/>
        <w:t xml:space="preserve">S.W. </w:t>
      </w:r>
      <w:proofErr w:type="spellStart"/>
      <w:r w:rsidRPr="00E65399">
        <w:rPr>
          <w:rFonts w:ascii="Calibri" w:hAnsi="Calibri" w:cs="Calibri"/>
        </w:rPr>
        <w:t>Sjoerdsma</w:t>
      </w:r>
      <w:proofErr w:type="spellEnd"/>
    </w:p>
    <w:p w:rsidRPr="00E65399" w:rsidR="00E65399" w:rsidP="00CD5DDD" w:rsidRDefault="00E65399" w14:paraId="12165BB8" w14:textId="77777777">
      <w:pPr>
        <w:spacing w:line="276" w:lineRule="auto"/>
        <w:rPr>
          <w:rFonts w:ascii="Calibri" w:hAnsi="Calibri" w:cs="Calibri"/>
        </w:rPr>
      </w:pPr>
    </w:p>
    <w:p w:rsidRPr="00E65399" w:rsidR="00E65399" w:rsidP="00E65399" w:rsidRDefault="00E65399" w14:paraId="5EF3E71F" w14:textId="52539C5D">
      <w:pPr>
        <w:spacing w:line="276" w:lineRule="auto"/>
        <w:rPr>
          <w:rFonts w:ascii="Calibri" w:hAnsi="Calibri" w:cs="Calibri"/>
        </w:rPr>
      </w:pPr>
      <w:r w:rsidRPr="00E65399">
        <w:rPr>
          <w:rFonts w:ascii="Calibri" w:hAnsi="Calibri" w:cs="Calibri"/>
        </w:rPr>
        <w:t>De minister van Buitenlandse Zaken,</w:t>
      </w:r>
      <w:r w:rsidRPr="00E65399">
        <w:rPr>
          <w:rFonts w:ascii="Calibri" w:hAnsi="Calibri" w:cs="Calibri"/>
        </w:rPr>
        <w:br/>
        <w:t>T.B.W. Berendsen</w:t>
      </w:r>
    </w:p>
    <w:p w:rsidRPr="00E65399" w:rsidR="00E65399" w:rsidP="00CD5DDD" w:rsidRDefault="00E65399" w14:paraId="0EAF8762" w14:textId="77777777">
      <w:pPr>
        <w:spacing w:line="276" w:lineRule="auto"/>
        <w:rPr>
          <w:rFonts w:ascii="Calibri" w:hAnsi="Calibri" w:cs="Calibri"/>
        </w:rPr>
      </w:pPr>
    </w:p>
    <w:p w:rsidRPr="00E65399" w:rsidR="00CD5DDD" w:rsidP="00CD5DDD" w:rsidRDefault="00CD5DDD" w14:paraId="5E3384C2" w14:textId="77777777">
      <w:pPr>
        <w:spacing w:line="276" w:lineRule="auto"/>
        <w:rPr>
          <w:rFonts w:ascii="Calibri" w:hAnsi="Calibri" w:cs="Calibri"/>
        </w:rPr>
      </w:pPr>
    </w:p>
    <w:p w:rsidRPr="00E65399" w:rsidR="00CD5DDD" w:rsidP="00CD5DDD" w:rsidRDefault="00CD5DDD" w14:paraId="13C5D06D" w14:textId="77777777">
      <w:pPr>
        <w:spacing w:line="276" w:lineRule="auto"/>
        <w:rPr>
          <w:rFonts w:ascii="Calibri" w:hAnsi="Calibri" w:cs="Calibri"/>
        </w:rPr>
      </w:pPr>
    </w:p>
    <w:p w:rsidRPr="00E65399" w:rsidR="006F53E6" w:rsidRDefault="006F53E6" w14:paraId="26D99315" w14:textId="77777777">
      <w:pPr>
        <w:rPr>
          <w:rFonts w:ascii="Calibri" w:hAnsi="Calibri" w:cs="Calibri"/>
        </w:rPr>
      </w:pPr>
    </w:p>
    <w:sectPr w:rsidRPr="00E65399"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CD32D" w14:textId="77777777" w:rsidR="00AE5108" w:rsidRDefault="00AE5108" w:rsidP="00CD5DDD">
      <w:pPr>
        <w:spacing w:after="0" w:line="240" w:lineRule="auto"/>
      </w:pPr>
      <w:r>
        <w:separator/>
      </w:r>
    </w:p>
  </w:endnote>
  <w:endnote w:type="continuationSeparator" w:id="0">
    <w:p w14:paraId="2465265F" w14:textId="77777777" w:rsidR="00AE5108" w:rsidRDefault="00AE5108" w:rsidP="00CD5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D8FD" w14:textId="77777777" w:rsidR="00CD5DDD" w:rsidRPr="00CD5DDD" w:rsidRDefault="00CD5DDD" w:rsidP="00CD5D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4FE1" w14:textId="77777777" w:rsidR="00CD5DDD" w:rsidRPr="00CD5DDD" w:rsidRDefault="00CD5DDD" w:rsidP="00CD5DD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5D2F9" w14:textId="77777777" w:rsidR="00CD5DDD" w:rsidRPr="00CD5DDD" w:rsidRDefault="00CD5DDD" w:rsidP="00CD5D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62336" w14:textId="77777777" w:rsidR="00AE5108" w:rsidRDefault="00AE5108" w:rsidP="00CD5DDD">
      <w:pPr>
        <w:spacing w:after="0" w:line="240" w:lineRule="auto"/>
      </w:pPr>
      <w:r>
        <w:separator/>
      </w:r>
    </w:p>
  </w:footnote>
  <w:footnote w:type="continuationSeparator" w:id="0">
    <w:p w14:paraId="32263499" w14:textId="77777777" w:rsidR="00AE5108" w:rsidRDefault="00AE5108" w:rsidP="00CD5DDD">
      <w:pPr>
        <w:spacing w:after="0" w:line="240" w:lineRule="auto"/>
      </w:pPr>
      <w:r>
        <w:continuationSeparator/>
      </w:r>
    </w:p>
  </w:footnote>
  <w:footnote w:id="1">
    <w:p w14:paraId="4456CB36" w14:textId="77777777" w:rsidR="00CD5DDD" w:rsidRPr="003367F6" w:rsidRDefault="00CD5DDD" w:rsidP="00CD5DDD">
      <w:pPr>
        <w:pStyle w:val="Voetnoottekst"/>
      </w:pPr>
      <w:r w:rsidRPr="00BC46F8">
        <w:rPr>
          <w:rStyle w:val="Voetnootmarkering"/>
          <w:sz w:val="16"/>
          <w:szCs w:val="16"/>
        </w:rPr>
        <w:footnoteRef/>
      </w:r>
      <w:r w:rsidRPr="00BC46F8">
        <w:rPr>
          <w:sz w:val="16"/>
          <w:szCs w:val="16"/>
        </w:rPr>
        <w:t xml:space="preserve"> Gemeenschappelijk Standpunt 2008/944/GBVB van de Raad van 8 december 2008, het meest recent aangepast middels raadsbesluit (GBVB) 2019/1560 van 16 September 2019</w:t>
      </w:r>
      <w:r w:rsidRPr="003367F6">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15978" w14:textId="77777777" w:rsidR="00CD5DDD" w:rsidRPr="00CD5DDD" w:rsidRDefault="00CD5DDD" w:rsidP="00CD5D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A7DF5" w14:textId="77777777" w:rsidR="00CD5DDD" w:rsidRPr="00CD5DDD" w:rsidRDefault="00CD5DDD" w:rsidP="00CD5DD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0732D" w14:textId="77777777" w:rsidR="00CD5DDD" w:rsidRPr="00CD5DDD" w:rsidRDefault="00CD5DDD" w:rsidP="00CD5DD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DDD"/>
    <w:rsid w:val="000013B0"/>
    <w:rsid w:val="00001C64"/>
    <w:rsid w:val="003365C6"/>
    <w:rsid w:val="006F53E6"/>
    <w:rsid w:val="00716EB9"/>
    <w:rsid w:val="007A54B0"/>
    <w:rsid w:val="00A3163B"/>
    <w:rsid w:val="00AE5108"/>
    <w:rsid w:val="00C36DE8"/>
    <w:rsid w:val="00CD5DDD"/>
    <w:rsid w:val="00E6539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3C789"/>
  <w15:chartTrackingRefBased/>
  <w15:docId w15:val="{425D7239-F40E-4D29-BBBD-5BC3FB93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5D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5D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5D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5D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D5D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5D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5D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5D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5D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5D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5D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5D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5D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5D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5D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5D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5D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5DDD"/>
    <w:rPr>
      <w:rFonts w:eastAsiaTheme="majorEastAsia" w:cstheme="majorBidi"/>
      <w:color w:val="272727" w:themeColor="text1" w:themeTint="D8"/>
    </w:rPr>
  </w:style>
  <w:style w:type="paragraph" w:styleId="Titel">
    <w:name w:val="Title"/>
    <w:basedOn w:val="Standaard"/>
    <w:next w:val="Standaard"/>
    <w:link w:val="TitelChar"/>
    <w:uiPriority w:val="10"/>
    <w:qFormat/>
    <w:rsid w:val="00CD5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5D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5D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5D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5D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5DDD"/>
    <w:rPr>
      <w:i/>
      <w:iCs/>
      <w:color w:val="404040" w:themeColor="text1" w:themeTint="BF"/>
    </w:rPr>
  </w:style>
  <w:style w:type="paragraph" w:styleId="Lijstalinea">
    <w:name w:val="List Paragraph"/>
    <w:basedOn w:val="Standaard"/>
    <w:uiPriority w:val="34"/>
    <w:qFormat/>
    <w:rsid w:val="00CD5DDD"/>
    <w:pPr>
      <w:ind w:left="720"/>
      <w:contextualSpacing/>
    </w:pPr>
  </w:style>
  <w:style w:type="character" w:styleId="Intensievebenadrukking">
    <w:name w:val="Intense Emphasis"/>
    <w:basedOn w:val="Standaardalinea-lettertype"/>
    <w:uiPriority w:val="21"/>
    <w:qFormat/>
    <w:rsid w:val="00CD5DDD"/>
    <w:rPr>
      <w:i/>
      <w:iCs/>
      <w:color w:val="0F4761" w:themeColor="accent1" w:themeShade="BF"/>
    </w:rPr>
  </w:style>
  <w:style w:type="paragraph" w:styleId="Duidelijkcitaat">
    <w:name w:val="Intense Quote"/>
    <w:basedOn w:val="Standaard"/>
    <w:next w:val="Standaard"/>
    <w:link w:val="DuidelijkcitaatChar"/>
    <w:uiPriority w:val="30"/>
    <w:qFormat/>
    <w:rsid w:val="00CD5D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5DDD"/>
    <w:rPr>
      <w:i/>
      <w:iCs/>
      <w:color w:val="0F4761" w:themeColor="accent1" w:themeShade="BF"/>
    </w:rPr>
  </w:style>
  <w:style w:type="character" w:styleId="Intensieveverwijzing">
    <w:name w:val="Intense Reference"/>
    <w:basedOn w:val="Standaardalinea-lettertype"/>
    <w:uiPriority w:val="32"/>
    <w:qFormat/>
    <w:rsid w:val="00CD5DDD"/>
    <w:rPr>
      <w:b/>
      <w:bCs/>
      <w:smallCaps/>
      <w:color w:val="0F4761" w:themeColor="accent1" w:themeShade="BF"/>
      <w:spacing w:val="5"/>
    </w:rPr>
  </w:style>
  <w:style w:type="table" w:customStyle="1" w:styleId="Tabelondertekening">
    <w:name w:val="Tabel ondertekening"/>
    <w:rsid w:val="00CD5DDD"/>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CD5DD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D5DD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D5DDD"/>
    <w:rPr>
      <w:vertAlign w:val="superscript"/>
    </w:rPr>
  </w:style>
  <w:style w:type="paragraph" w:styleId="Koptekst">
    <w:name w:val="header"/>
    <w:basedOn w:val="Standaard"/>
    <w:link w:val="KoptekstChar"/>
    <w:uiPriority w:val="99"/>
    <w:unhideWhenUsed/>
    <w:rsid w:val="00CD5D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5DDD"/>
  </w:style>
  <w:style w:type="paragraph" w:styleId="Voettekst">
    <w:name w:val="footer"/>
    <w:basedOn w:val="Standaard"/>
    <w:link w:val="VoettekstChar"/>
    <w:uiPriority w:val="99"/>
    <w:unhideWhenUsed/>
    <w:rsid w:val="00CD5D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5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607</ap:Words>
  <ap:Characters>3342</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2026-08-27T11:26:00.0000000Z</dcterms:created>
  <dcterms:modified xsi:type="dcterms:W3CDTF">2026-08-27T11:26:00.0000000Z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