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A2F" w:rsidP="00CF7A2F" w:rsidRDefault="00CF7A2F" w14:paraId="6D02CC62" w14:textId="2B55BBEB">
      <w:pPr>
        <w:pStyle w:val="Geenafstand"/>
      </w:pPr>
      <w:bookmarkStart w:name="OLE_LINK11" w:id="0"/>
      <w:r>
        <w:t>AH 2751</w:t>
      </w:r>
    </w:p>
    <w:p w:rsidR="00CF7A2F" w:rsidP="00CF7A2F" w:rsidRDefault="00CF7A2F" w14:paraId="7E77040A" w14:textId="4A0CED92">
      <w:pPr>
        <w:pStyle w:val="Geenafstand"/>
      </w:pPr>
      <w:r>
        <w:t>2026Z16667</w:t>
      </w:r>
    </w:p>
    <w:p w:rsidR="00CF7A2F" w:rsidP="00320A3A" w:rsidRDefault="00CF7A2F" w14:paraId="36E2FEED" w14:textId="77777777">
      <w:pPr>
        <w:rPr>
          <w:szCs w:val="18"/>
        </w:rPr>
      </w:pPr>
    </w:p>
    <w:p w:rsidR="00CF7A2F" w:rsidP="00320A3A" w:rsidRDefault="00CF7A2F" w14:paraId="7122CF4F" w14:textId="215CEAA3">
      <w:pPr>
        <w:rPr>
          <w:sz w:val="24"/>
          <w:szCs w:val="24"/>
        </w:rPr>
      </w:pPr>
      <w:r w:rsidRPr="00CF7A2F">
        <w:rPr>
          <w:sz w:val="24"/>
          <w:szCs w:val="24"/>
        </w:rPr>
        <w:t xml:space="preserve">Antwoord van minister Van Veldhoven-van der Meer (Klimaat en Groene Groei) (ontvangen </w:t>
      </w:r>
      <w:r>
        <w:rPr>
          <w:sz w:val="24"/>
          <w:szCs w:val="24"/>
        </w:rPr>
        <w:t xml:space="preserve"> 25 augustus 2026)</w:t>
      </w:r>
    </w:p>
    <w:p w:rsidR="00CF7A2F" w:rsidP="00320A3A" w:rsidRDefault="00CF7A2F" w14:paraId="5CC8DE93" w14:textId="77777777">
      <w:pPr>
        <w:rPr>
          <w:szCs w:val="18"/>
        </w:rPr>
      </w:pPr>
    </w:p>
    <w:p w:rsidR="00CF7A2F" w:rsidP="00320A3A" w:rsidRDefault="00CF7A2F" w14:paraId="3D5A9759" w14:textId="77777777">
      <w:pPr>
        <w:rPr>
          <w:szCs w:val="18"/>
        </w:rPr>
      </w:pPr>
      <w:r>
        <w:rPr>
          <w:szCs w:val="18"/>
        </w:rPr>
        <w:t>1</w:t>
      </w:r>
    </w:p>
    <w:p w:rsidR="00CF7A2F" w:rsidP="00320A3A" w:rsidRDefault="00CF7A2F" w14:paraId="576D1596" w14:textId="77777777">
      <w:pPr>
        <w:rPr>
          <w:szCs w:val="18"/>
        </w:rPr>
      </w:pPr>
      <w:r>
        <w:rPr>
          <w:szCs w:val="18"/>
        </w:rPr>
        <w:t xml:space="preserve">Bent u bekend met de door de Autoriteit Consument &amp; Markt (ACM) aangekondigde overgangsregeling voor het </w:t>
      </w:r>
      <w:proofErr w:type="spellStart"/>
      <w:r>
        <w:rPr>
          <w:szCs w:val="18"/>
        </w:rPr>
        <w:t>invoedingstarief</w:t>
      </w:r>
      <w:proofErr w:type="spellEnd"/>
      <w:r>
        <w:rPr>
          <w:szCs w:val="18"/>
        </w:rPr>
        <w:t>?</w:t>
      </w:r>
    </w:p>
    <w:p w:rsidR="00CF7A2F" w:rsidP="00320A3A" w:rsidRDefault="00CF7A2F" w14:paraId="0EE1F6AF" w14:textId="77777777">
      <w:pPr>
        <w:rPr>
          <w:szCs w:val="18"/>
        </w:rPr>
      </w:pPr>
    </w:p>
    <w:p w:rsidR="00CF7A2F" w:rsidP="00320A3A" w:rsidRDefault="00CF7A2F" w14:paraId="0DC14D3A" w14:textId="77777777">
      <w:pPr>
        <w:rPr>
          <w:szCs w:val="18"/>
        </w:rPr>
      </w:pPr>
      <w:r>
        <w:rPr>
          <w:szCs w:val="18"/>
        </w:rPr>
        <w:t>Antwoord</w:t>
      </w:r>
    </w:p>
    <w:p w:rsidR="00CF7A2F" w:rsidP="00320A3A" w:rsidRDefault="00CF7A2F" w14:paraId="4BBC5FA5" w14:textId="77777777">
      <w:pPr>
        <w:rPr>
          <w:szCs w:val="18"/>
        </w:rPr>
      </w:pPr>
      <w:r>
        <w:rPr>
          <w:szCs w:val="18"/>
        </w:rPr>
        <w:t>Ja.</w:t>
      </w:r>
    </w:p>
    <w:p w:rsidR="00CF7A2F" w:rsidP="00320A3A" w:rsidRDefault="00CF7A2F" w14:paraId="14AE11EA" w14:textId="77777777">
      <w:pPr>
        <w:rPr>
          <w:szCs w:val="18"/>
        </w:rPr>
      </w:pPr>
    </w:p>
    <w:p w:rsidR="00CF7A2F" w:rsidP="00320A3A" w:rsidRDefault="00CF7A2F" w14:paraId="74F1F0BB" w14:textId="77777777">
      <w:pPr>
        <w:rPr>
          <w:szCs w:val="18"/>
        </w:rPr>
      </w:pPr>
      <w:r>
        <w:rPr>
          <w:szCs w:val="18"/>
        </w:rPr>
        <w:t>2</w:t>
      </w:r>
    </w:p>
    <w:p w:rsidR="00CF7A2F" w:rsidP="00320A3A" w:rsidRDefault="00CF7A2F" w14:paraId="00AD3504" w14:textId="77777777">
      <w:pPr>
        <w:rPr>
          <w:szCs w:val="18"/>
        </w:rPr>
      </w:pPr>
      <w:r>
        <w:rPr>
          <w:szCs w:val="18"/>
        </w:rPr>
        <w:t xml:space="preserve">Klopt het dat het verplichtingenbudget voor de subsidietenders voor IJmuiden Ver Gamma-A en Gamma-B is verhoogd vanwege de mogelijke invoering van een </w:t>
      </w:r>
      <w:proofErr w:type="spellStart"/>
      <w:r>
        <w:rPr>
          <w:szCs w:val="18"/>
        </w:rPr>
        <w:t>invoedingstarief</w:t>
      </w:r>
      <w:proofErr w:type="spellEnd"/>
      <w:r>
        <w:rPr>
          <w:szCs w:val="18"/>
        </w:rPr>
        <w:t>?</w:t>
      </w:r>
    </w:p>
    <w:p w:rsidR="00CF7A2F" w:rsidP="00320A3A" w:rsidRDefault="00CF7A2F" w14:paraId="0FD79054" w14:textId="77777777">
      <w:pPr>
        <w:rPr>
          <w:szCs w:val="18"/>
        </w:rPr>
      </w:pPr>
    </w:p>
    <w:p w:rsidR="00CF7A2F" w:rsidP="00320A3A" w:rsidRDefault="00CF7A2F" w14:paraId="5BC8B0FF" w14:textId="77777777">
      <w:pPr>
        <w:rPr>
          <w:szCs w:val="18"/>
        </w:rPr>
      </w:pPr>
      <w:r>
        <w:rPr>
          <w:szCs w:val="18"/>
        </w:rPr>
        <w:t xml:space="preserve">Antwoord </w:t>
      </w:r>
    </w:p>
    <w:p w:rsidR="00CF7A2F" w:rsidP="00320A3A" w:rsidRDefault="00CF7A2F" w14:paraId="3D3AFABF" w14:textId="77777777">
      <w:pPr>
        <w:rPr>
          <w:szCs w:val="18"/>
        </w:rPr>
      </w:pPr>
      <w:r>
        <w:rPr>
          <w:szCs w:val="18"/>
        </w:rPr>
        <w:t>Ja.</w:t>
      </w:r>
    </w:p>
    <w:p w:rsidR="00CF7A2F" w:rsidP="00320A3A" w:rsidRDefault="00CF7A2F" w14:paraId="1AB233ED" w14:textId="77777777">
      <w:pPr>
        <w:rPr>
          <w:szCs w:val="18"/>
        </w:rPr>
      </w:pPr>
    </w:p>
    <w:p w:rsidR="00CF7A2F" w:rsidP="00320A3A" w:rsidRDefault="00CF7A2F" w14:paraId="417EC9F6" w14:textId="77777777">
      <w:pPr>
        <w:rPr>
          <w:szCs w:val="18"/>
        </w:rPr>
      </w:pPr>
      <w:r>
        <w:rPr>
          <w:szCs w:val="18"/>
        </w:rPr>
        <w:t>3</w:t>
      </w:r>
    </w:p>
    <w:p w:rsidR="00CF7A2F" w:rsidP="00320A3A" w:rsidRDefault="00CF7A2F" w14:paraId="3816CB6B" w14:textId="77777777">
      <w:pPr>
        <w:rPr>
          <w:szCs w:val="18"/>
        </w:rPr>
      </w:pPr>
      <w:r>
        <w:rPr>
          <w:szCs w:val="18"/>
        </w:rPr>
        <w:t xml:space="preserve">Wanneer bent u voor het eerst geïnformeerd over het voornemen van de ACM om een </w:t>
      </w:r>
      <w:proofErr w:type="spellStart"/>
      <w:r>
        <w:rPr>
          <w:szCs w:val="18"/>
        </w:rPr>
        <w:t>invoedingstarief</w:t>
      </w:r>
      <w:proofErr w:type="spellEnd"/>
      <w:r>
        <w:rPr>
          <w:szCs w:val="18"/>
        </w:rPr>
        <w:t xml:space="preserve"> in te voeren en wanneer heeft u besloten het verplichtingenbudget te verhogen?</w:t>
      </w:r>
    </w:p>
    <w:p w:rsidR="00CF7A2F" w:rsidP="00320A3A" w:rsidRDefault="00CF7A2F" w14:paraId="5D8694AC" w14:textId="77777777">
      <w:pPr>
        <w:rPr>
          <w:i/>
          <w:iCs/>
          <w:szCs w:val="18"/>
        </w:rPr>
      </w:pPr>
    </w:p>
    <w:p w:rsidR="00CF7A2F" w:rsidP="00320A3A" w:rsidRDefault="00CF7A2F" w14:paraId="0F026B4C" w14:textId="77777777">
      <w:pPr>
        <w:rPr>
          <w:szCs w:val="18"/>
        </w:rPr>
      </w:pPr>
      <w:r>
        <w:rPr>
          <w:szCs w:val="18"/>
        </w:rPr>
        <w:t xml:space="preserve">Antwoord </w:t>
      </w:r>
    </w:p>
    <w:p w:rsidR="00CF7A2F" w:rsidP="00320A3A" w:rsidRDefault="00CF7A2F" w14:paraId="6ADAE9CB" w14:textId="77777777">
      <w:pPr>
        <w:rPr>
          <w:szCs w:val="18"/>
        </w:rPr>
      </w:pPr>
      <w:r>
        <w:rPr>
          <w:szCs w:val="18"/>
        </w:rPr>
        <w:t xml:space="preserve">In oktober 2024 heeft de ACM op haar website aangekondigd onderzoek te doen naar de invoering van een </w:t>
      </w:r>
      <w:proofErr w:type="spellStart"/>
      <w:r>
        <w:rPr>
          <w:szCs w:val="18"/>
        </w:rPr>
        <w:t>invoedingstarief</w:t>
      </w:r>
      <w:proofErr w:type="spellEnd"/>
      <w:r>
        <w:rPr>
          <w:szCs w:val="18"/>
        </w:rPr>
        <w:t xml:space="preserve">. De hoogte, vormgeving, overgangsperiode en eventuele uitzonderingen van het beoogde </w:t>
      </w:r>
      <w:proofErr w:type="spellStart"/>
      <w:r>
        <w:rPr>
          <w:szCs w:val="18"/>
        </w:rPr>
        <w:t>invoedingstarief</w:t>
      </w:r>
      <w:proofErr w:type="spellEnd"/>
      <w:r>
        <w:rPr>
          <w:szCs w:val="18"/>
        </w:rPr>
        <w:t xml:space="preserve"> waren toen (ook) nog niet duidelijk. Deze aankondiging was een stap in een langer durend proces waarin ACM zelfstandig onderzoek uitvoert en regelmatig belanghebbenden, waaronder EZK, consulteert. De ACM neemt later in het besluitvormingsproces definitieve keuzes over het </w:t>
      </w:r>
      <w:proofErr w:type="spellStart"/>
      <w:r>
        <w:rPr>
          <w:szCs w:val="18"/>
        </w:rPr>
        <w:t>invoedingstarief</w:t>
      </w:r>
      <w:proofErr w:type="spellEnd"/>
      <w:r>
        <w:rPr>
          <w:szCs w:val="18"/>
        </w:rPr>
        <w:t xml:space="preserve">. Die zijn nog niet genomen. </w:t>
      </w:r>
    </w:p>
    <w:p w:rsidR="00CF7A2F" w:rsidP="00320A3A" w:rsidRDefault="00CF7A2F" w14:paraId="6B4810DF" w14:textId="77777777">
      <w:pPr>
        <w:rPr>
          <w:szCs w:val="18"/>
        </w:rPr>
      </w:pPr>
    </w:p>
    <w:p w:rsidR="00CF7A2F" w:rsidP="00320A3A" w:rsidRDefault="00CF7A2F" w14:paraId="46BC2C3A" w14:textId="77777777">
      <w:pPr>
        <w:rPr>
          <w:szCs w:val="18"/>
        </w:rPr>
      </w:pPr>
      <w:r>
        <w:rPr>
          <w:szCs w:val="18"/>
        </w:rPr>
        <w:t>Naar aanleiding van gesprekken met de ACM en de zorgen van de sector wind op zee ten tijde van de marktconsultatie van de ontwerpregeling van IJmuiden Ver Gamma is in het voorjaar van 2026 besloten om het verplichtingenbudget te verhogen.</w:t>
      </w:r>
    </w:p>
    <w:p w:rsidR="00CF7A2F" w:rsidP="00320A3A" w:rsidRDefault="00CF7A2F" w14:paraId="3BF99898" w14:textId="77777777">
      <w:pPr>
        <w:rPr>
          <w:szCs w:val="18"/>
        </w:rPr>
      </w:pPr>
    </w:p>
    <w:p w:rsidR="00CF7A2F" w:rsidP="00320A3A" w:rsidRDefault="00CF7A2F" w14:paraId="715FCBCB" w14:textId="77777777">
      <w:pPr>
        <w:rPr>
          <w:szCs w:val="18"/>
        </w:rPr>
      </w:pPr>
      <w:r>
        <w:rPr>
          <w:szCs w:val="18"/>
        </w:rPr>
        <w:t>4</w:t>
      </w:r>
    </w:p>
    <w:p w:rsidR="00CF7A2F" w:rsidP="00320A3A" w:rsidRDefault="00CF7A2F" w14:paraId="031A1D04" w14:textId="77777777">
      <w:pPr>
        <w:rPr>
          <w:szCs w:val="18"/>
        </w:rPr>
      </w:pPr>
      <w:r>
        <w:rPr>
          <w:szCs w:val="18"/>
        </w:rPr>
        <w:t>Welke gevolgen heeft de aangekondigde overgangstermijn van twintig jaar voor de subsidietenders voor IJmuiden Ver Gamma-A en Gamma-B?</w:t>
      </w:r>
    </w:p>
    <w:p w:rsidR="00CF7A2F" w:rsidP="00320A3A" w:rsidRDefault="00CF7A2F" w14:paraId="1BD7D615" w14:textId="77777777">
      <w:pPr>
        <w:rPr>
          <w:szCs w:val="18"/>
        </w:rPr>
      </w:pPr>
    </w:p>
    <w:p w:rsidR="00CF7A2F" w:rsidP="00320A3A" w:rsidRDefault="00CF7A2F" w14:paraId="423C9CE0" w14:textId="77777777">
      <w:pPr>
        <w:rPr>
          <w:szCs w:val="18"/>
        </w:rPr>
      </w:pPr>
      <w:r>
        <w:rPr>
          <w:szCs w:val="18"/>
        </w:rPr>
        <w:t xml:space="preserve">Antwoord </w:t>
      </w:r>
    </w:p>
    <w:p w:rsidR="00CF7A2F" w:rsidP="00320A3A" w:rsidRDefault="00CF7A2F" w14:paraId="2A5B2587" w14:textId="77777777">
      <w:pPr>
        <w:rPr>
          <w:szCs w:val="18"/>
        </w:rPr>
      </w:pPr>
      <w:r>
        <w:rPr>
          <w:szCs w:val="18"/>
        </w:rPr>
        <w:t xml:space="preserve">De ACM heeft een overgangstermijn van 20 jaar aangekondigd waarvoor het </w:t>
      </w:r>
      <w:proofErr w:type="spellStart"/>
      <w:r>
        <w:rPr>
          <w:szCs w:val="18"/>
        </w:rPr>
        <w:t>invoedingstarief</w:t>
      </w:r>
      <w:proofErr w:type="spellEnd"/>
      <w:r>
        <w:rPr>
          <w:szCs w:val="18"/>
        </w:rPr>
        <w:t xml:space="preserve"> niet zal gelden. De termijn van 20 jaar begint te lopen op het moment dat de investering in gebruik wordt genomen. Projecten waarvoor een definitieve investeringsbeslissing is genomen vóór de ingangsdatum van het </w:t>
      </w:r>
      <w:proofErr w:type="spellStart"/>
      <w:r>
        <w:rPr>
          <w:szCs w:val="18"/>
        </w:rPr>
        <w:t>invoedingstarief</w:t>
      </w:r>
      <w:proofErr w:type="spellEnd"/>
      <w:r>
        <w:rPr>
          <w:szCs w:val="18"/>
        </w:rPr>
        <w:t xml:space="preserve"> - op dit moment voorzien op 1 januari 2032 - komen in aanmerking voor deze overgangstermijn. </w:t>
      </w:r>
    </w:p>
    <w:p w:rsidR="00CF7A2F" w:rsidP="00320A3A" w:rsidRDefault="00CF7A2F" w14:paraId="05BB71F4" w14:textId="77777777">
      <w:pPr>
        <w:rPr>
          <w:szCs w:val="18"/>
        </w:rPr>
      </w:pPr>
    </w:p>
    <w:p w:rsidR="00CF7A2F" w:rsidP="00320A3A" w:rsidRDefault="00CF7A2F" w14:paraId="030F632E" w14:textId="77777777">
      <w:pPr>
        <w:rPr>
          <w:szCs w:val="18"/>
        </w:rPr>
      </w:pPr>
      <w:r>
        <w:rPr>
          <w:szCs w:val="18"/>
        </w:rPr>
        <w:t xml:space="preserve">De vergunninghouders van IJmuiden Ver Gamma-A en Gamma-B kunnen een definitieve investeringsbeslissing nemen voor de inwerkingtreding van het </w:t>
      </w:r>
      <w:proofErr w:type="spellStart"/>
      <w:r>
        <w:rPr>
          <w:szCs w:val="18"/>
        </w:rPr>
        <w:t>invoedingstarief</w:t>
      </w:r>
      <w:proofErr w:type="spellEnd"/>
      <w:r>
        <w:rPr>
          <w:szCs w:val="18"/>
        </w:rPr>
        <w:t xml:space="preserve"> en vallen dan onder de aangekondigde overgangstermijn. Omdat de windparken voorzien om in gebruik te worden genomen in 2032 zijn ze tot en met 2052 uitgezonderd van het betalen van een </w:t>
      </w:r>
      <w:proofErr w:type="spellStart"/>
      <w:r>
        <w:rPr>
          <w:szCs w:val="18"/>
        </w:rPr>
        <w:t>invoedingstarief</w:t>
      </w:r>
      <w:proofErr w:type="spellEnd"/>
      <w:r>
        <w:rPr>
          <w:szCs w:val="18"/>
        </w:rPr>
        <w:t xml:space="preserve">. </w:t>
      </w:r>
    </w:p>
    <w:p w:rsidR="00CF7A2F" w:rsidP="00320A3A" w:rsidRDefault="00CF7A2F" w14:paraId="005C7E68" w14:textId="77777777">
      <w:pPr>
        <w:rPr>
          <w:szCs w:val="18"/>
        </w:rPr>
      </w:pPr>
    </w:p>
    <w:p w:rsidR="00CF7A2F" w:rsidP="00320A3A" w:rsidRDefault="00CF7A2F" w14:paraId="776A1314" w14:textId="77777777">
      <w:pPr>
        <w:rPr>
          <w:szCs w:val="18"/>
        </w:rPr>
      </w:pPr>
      <w:r>
        <w:rPr>
          <w:szCs w:val="18"/>
        </w:rPr>
        <w:t xml:space="preserve">Vergunningen voor windparken op zee worden echter afgegeven voor een periode van veertig jaar. Dit betekent dat IJmuiden Ver Gamma-A en Gamma-B slechts gedeeltelijk zullen worden vrijgesteld van het </w:t>
      </w:r>
      <w:proofErr w:type="spellStart"/>
      <w:r>
        <w:rPr>
          <w:szCs w:val="18"/>
        </w:rPr>
        <w:t>invoedingstarief</w:t>
      </w:r>
      <w:proofErr w:type="spellEnd"/>
      <w:r>
        <w:rPr>
          <w:szCs w:val="18"/>
        </w:rPr>
        <w:t xml:space="preserve">. Windparkontwikkelaars zullen daarom ook het risico van de periode na de vrijstelling meenemen in de berekeningen van de businesscase wat doorwerkt in het te bieden tenderbedrag. </w:t>
      </w:r>
    </w:p>
    <w:p w:rsidR="00CF7A2F" w:rsidP="00320A3A" w:rsidRDefault="00CF7A2F" w14:paraId="3B6AD90D" w14:textId="77777777">
      <w:pPr>
        <w:rPr>
          <w:szCs w:val="18"/>
        </w:rPr>
      </w:pPr>
    </w:p>
    <w:p w:rsidR="00CF7A2F" w:rsidP="00320A3A" w:rsidRDefault="00CF7A2F" w14:paraId="0D159BDF" w14:textId="77777777">
      <w:pPr>
        <w:rPr>
          <w:szCs w:val="18"/>
        </w:rPr>
      </w:pPr>
      <w:r>
        <w:rPr>
          <w:szCs w:val="18"/>
        </w:rPr>
        <w:t xml:space="preserve">Daarnaast heeft de ACM nog geen duidelijkheid gegeven over een tariefhoogte of de vormgeving na de overgangstermijn. </w:t>
      </w:r>
    </w:p>
    <w:p w:rsidR="00CF7A2F" w:rsidP="00320A3A" w:rsidRDefault="00CF7A2F" w14:paraId="11096CD1" w14:textId="77777777">
      <w:pPr>
        <w:rPr>
          <w:szCs w:val="18"/>
        </w:rPr>
      </w:pPr>
    </w:p>
    <w:p w:rsidR="00CF7A2F" w:rsidP="00320A3A" w:rsidRDefault="00CF7A2F" w14:paraId="31A0473F" w14:textId="77777777">
      <w:pPr>
        <w:rPr>
          <w:szCs w:val="18"/>
        </w:rPr>
      </w:pPr>
      <w:r>
        <w:rPr>
          <w:szCs w:val="18"/>
        </w:rPr>
        <w:t xml:space="preserve">De overgangsperiode van 20 jaar is positief ontvangen door de sector. Windparkontwikkelaars hebben aangegeven dat de overgangstermijn een deel van de zorgen over het </w:t>
      </w:r>
      <w:proofErr w:type="spellStart"/>
      <w:r>
        <w:rPr>
          <w:szCs w:val="18"/>
        </w:rPr>
        <w:t>invoedingstarief</w:t>
      </w:r>
      <w:proofErr w:type="spellEnd"/>
      <w:r>
        <w:rPr>
          <w:szCs w:val="18"/>
        </w:rPr>
        <w:t xml:space="preserve"> wegneemt, maar zeker niet alle zorgen.</w:t>
      </w:r>
    </w:p>
    <w:p w:rsidR="00CF7A2F" w:rsidP="00320A3A" w:rsidRDefault="00CF7A2F" w14:paraId="6CDA1400" w14:textId="77777777">
      <w:pPr>
        <w:rPr>
          <w:szCs w:val="18"/>
        </w:rPr>
      </w:pPr>
    </w:p>
    <w:p w:rsidR="00CF7A2F" w:rsidP="00320A3A" w:rsidRDefault="00CF7A2F" w14:paraId="053E3538" w14:textId="77777777">
      <w:pPr>
        <w:rPr>
          <w:szCs w:val="18"/>
        </w:rPr>
      </w:pPr>
      <w:r>
        <w:rPr>
          <w:szCs w:val="18"/>
        </w:rPr>
        <w:t xml:space="preserve">5 </w:t>
      </w:r>
    </w:p>
    <w:p w:rsidR="00CF7A2F" w:rsidP="00320A3A" w:rsidRDefault="00CF7A2F" w14:paraId="3E8C6A81" w14:textId="77777777">
      <w:pPr>
        <w:rPr>
          <w:szCs w:val="18"/>
        </w:rPr>
      </w:pPr>
      <w:r>
        <w:rPr>
          <w:szCs w:val="18"/>
        </w:rPr>
        <w:t xml:space="preserve">Kunt u bevestigen dat deze windparken onder het overgangsrecht vallen wanneer vóór de voorziene invoering van het </w:t>
      </w:r>
      <w:proofErr w:type="spellStart"/>
      <w:r>
        <w:rPr>
          <w:szCs w:val="18"/>
        </w:rPr>
        <w:t>invoedingstarief</w:t>
      </w:r>
      <w:proofErr w:type="spellEnd"/>
      <w:r>
        <w:rPr>
          <w:szCs w:val="18"/>
        </w:rPr>
        <w:t xml:space="preserve"> op 1 januari 2032 een definitieve investeringsbeslissing wordt genomen en dat zij daardoor gedurende hun volledige subsidieperiode van vijftien jaar geen </w:t>
      </w:r>
      <w:proofErr w:type="spellStart"/>
      <w:r>
        <w:rPr>
          <w:szCs w:val="18"/>
        </w:rPr>
        <w:t>invoedingstarief</w:t>
      </w:r>
      <w:proofErr w:type="spellEnd"/>
      <w:r>
        <w:rPr>
          <w:szCs w:val="18"/>
        </w:rPr>
        <w:t xml:space="preserve"> hoeven te betalen?</w:t>
      </w:r>
    </w:p>
    <w:p w:rsidR="00CF7A2F" w:rsidP="00320A3A" w:rsidRDefault="00CF7A2F" w14:paraId="2BDEA371" w14:textId="77777777">
      <w:pPr>
        <w:rPr>
          <w:szCs w:val="18"/>
        </w:rPr>
      </w:pPr>
    </w:p>
    <w:p w:rsidR="00CF7A2F" w:rsidP="00320A3A" w:rsidRDefault="00CF7A2F" w14:paraId="1730F1F5" w14:textId="77777777">
      <w:pPr>
        <w:rPr>
          <w:szCs w:val="18"/>
        </w:rPr>
      </w:pPr>
      <w:r>
        <w:rPr>
          <w:szCs w:val="18"/>
        </w:rPr>
        <w:t xml:space="preserve">Antwoord </w:t>
      </w:r>
    </w:p>
    <w:p w:rsidR="00CF7A2F" w:rsidP="00320A3A" w:rsidRDefault="00CF7A2F" w14:paraId="4BBEF78E" w14:textId="77777777">
      <w:pPr>
        <w:rPr>
          <w:szCs w:val="18"/>
        </w:rPr>
      </w:pPr>
      <w:r>
        <w:rPr>
          <w:szCs w:val="18"/>
        </w:rPr>
        <w:lastRenderedPageBreak/>
        <w:t xml:space="preserve">Ja, op basis van de informatie die de ACM heeft gecommuniceerd. </w:t>
      </w:r>
    </w:p>
    <w:p w:rsidR="00CF7A2F" w:rsidP="00320A3A" w:rsidRDefault="00CF7A2F" w14:paraId="782BDB39" w14:textId="77777777">
      <w:pPr>
        <w:rPr>
          <w:szCs w:val="18"/>
        </w:rPr>
      </w:pPr>
    </w:p>
    <w:p w:rsidR="00CF7A2F" w:rsidP="00320A3A" w:rsidRDefault="00CF7A2F" w14:paraId="45861557" w14:textId="77777777">
      <w:pPr>
        <w:rPr>
          <w:szCs w:val="18"/>
        </w:rPr>
      </w:pPr>
      <w:r>
        <w:rPr>
          <w:szCs w:val="18"/>
        </w:rPr>
        <w:t xml:space="preserve">Zoals in het antwoord onder 4 is te lezen worden windparken op zee vergund voor een periode van veertig jaar. IJmuiden Ver Gamma-A en Gamma-B zijn dus slechts gedeeltelijk vrijgesteld van het </w:t>
      </w:r>
      <w:proofErr w:type="spellStart"/>
      <w:r>
        <w:rPr>
          <w:szCs w:val="18"/>
        </w:rPr>
        <w:t>invoedingstarief</w:t>
      </w:r>
      <w:proofErr w:type="spellEnd"/>
      <w:r>
        <w:rPr>
          <w:szCs w:val="18"/>
        </w:rPr>
        <w:t>. Windparkontwikkelaars kunnen daarom ook die periode meenemen in de berekeningen van de businesscase voor het doen van een aanvraag, wat doorwerkt in het te bieden tenderbedrag.</w:t>
      </w:r>
    </w:p>
    <w:p w:rsidR="00CF7A2F" w:rsidP="00320A3A" w:rsidRDefault="00CF7A2F" w14:paraId="43ED795B" w14:textId="77777777">
      <w:pPr>
        <w:rPr>
          <w:szCs w:val="18"/>
        </w:rPr>
      </w:pPr>
    </w:p>
    <w:p w:rsidR="00CF7A2F" w:rsidP="00320A3A" w:rsidRDefault="00CF7A2F" w14:paraId="08556E3B" w14:textId="77777777">
      <w:pPr>
        <w:rPr>
          <w:szCs w:val="18"/>
        </w:rPr>
      </w:pPr>
      <w:r>
        <w:rPr>
          <w:szCs w:val="18"/>
        </w:rPr>
        <w:t>6</w:t>
      </w:r>
    </w:p>
    <w:p w:rsidR="00CF7A2F" w:rsidP="00320A3A" w:rsidRDefault="00CF7A2F" w14:paraId="50727C90" w14:textId="77777777">
      <w:pPr>
        <w:rPr>
          <w:szCs w:val="18"/>
        </w:rPr>
      </w:pPr>
      <w:r>
        <w:rPr>
          <w:szCs w:val="18"/>
        </w:rPr>
        <w:t>Deelt u de conclusie dat de onderbouwing voor de verhoging van de maximale tenderbedragen door de twintigjarige overgangstermijn grotendeels is komen te vervallen? Zo nee, waarom niet?</w:t>
      </w:r>
    </w:p>
    <w:p w:rsidR="00CF7A2F" w:rsidP="00320A3A" w:rsidRDefault="00CF7A2F" w14:paraId="532183D1" w14:textId="77777777">
      <w:pPr>
        <w:rPr>
          <w:szCs w:val="18"/>
        </w:rPr>
      </w:pPr>
    </w:p>
    <w:p w:rsidR="00CF7A2F" w:rsidP="00320A3A" w:rsidRDefault="00CF7A2F" w14:paraId="47CACB28" w14:textId="77777777">
      <w:pPr>
        <w:rPr>
          <w:szCs w:val="18"/>
        </w:rPr>
      </w:pPr>
      <w:r>
        <w:rPr>
          <w:szCs w:val="18"/>
        </w:rPr>
        <w:t xml:space="preserve">Antwoord </w:t>
      </w:r>
    </w:p>
    <w:p w:rsidR="00CF7A2F" w:rsidP="00320A3A" w:rsidRDefault="00CF7A2F" w14:paraId="49E09C64" w14:textId="77777777">
      <w:pPr>
        <w:rPr>
          <w:szCs w:val="18"/>
        </w:rPr>
      </w:pPr>
      <w:r>
        <w:rPr>
          <w:szCs w:val="18"/>
        </w:rPr>
        <w:t xml:space="preserve">Nee, die conclusie deel ik niet. Zoals in het antwoord onder 4 is te lezen is een vergunninghouder van het windpark Gamma-A en Gamma-B slechts een gedeelte van de veertigjarige vergunningsduur vrijgesteld van het </w:t>
      </w:r>
      <w:proofErr w:type="spellStart"/>
      <w:r>
        <w:rPr>
          <w:szCs w:val="18"/>
        </w:rPr>
        <w:t>invoedingstarief</w:t>
      </w:r>
      <w:proofErr w:type="spellEnd"/>
      <w:r>
        <w:rPr>
          <w:szCs w:val="18"/>
        </w:rPr>
        <w:t xml:space="preserve">. Windparkontwikkelaars zullen ook die periode meenemen in de berekeningen van de businesscase voor het doen van een aanvraag dat doorwerkt in het te bieden tenderbedrag. </w:t>
      </w:r>
    </w:p>
    <w:p w:rsidR="00CF7A2F" w:rsidP="00320A3A" w:rsidRDefault="00CF7A2F" w14:paraId="48DC8085" w14:textId="77777777">
      <w:pPr>
        <w:rPr>
          <w:szCs w:val="18"/>
        </w:rPr>
      </w:pPr>
    </w:p>
    <w:p w:rsidR="00CF7A2F" w:rsidP="00320A3A" w:rsidRDefault="00CF7A2F" w14:paraId="4E3B4023" w14:textId="77777777">
      <w:pPr>
        <w:rPr>
          <w:szCs w:val="18"/>
        </w:rPr>
      </w:pPr>
      <w:r>
        <w:rPr>
          <w:szCs w:val="18"/>
        </w:rPr>
        <w:t xml:space="preserve">Ook heeft de ACM nog geen duidelijkheid gegeven over een tariefhoogte of de vormgeving na de overgangstermijn. </w:t>
      </w:r>
    </w:p>
    <w:p w:rsidR="00CF7A2F" w:rsidP="00320A3A" w:rsidRDefault="00CF7A2F" w14:paraId="5218660A" w14:textId="77777777">
      <w:pPr>
        <w:rPr>
          <w:szCs w:val="18"/>
        </w:rPr>
      </w:pPr>
    </w:p>
    <w:p w:rsidR="00CF7A2F" w:rsidP="00320A3A" w:rsidRDefault="00CF7A2F" w14:paraId="0D0F79FC" w14:textId="77777777">
      <w:pPr>
        <w:rPr>
          <w:szCs w:val="18"/>
        </w:rPr>
      </w:pPr>
      <w:r>
        <w:rPr>
          <w:szCs w:val="18"/>
        </w:rPr>
        <w:t xml:space="preserve">De markt moet de ruimte hebben het risico in te kunnen prijzen passend binnen hun businesscase. Het PBL bevestigt in het adviesrapport dat voldoende budgettaire ruimte naar verwachting bijdraagt aan een toenemende competitie, wat kan bijdragen aan een lager winnend tenderbedrag en daarmee lagere kosten voor de Rijksoverheid. Zoveel als mogelijk informatie en zekerheid van de ACM ná de definitieve tenderregeling en vóór het sluiten van de tender, waaronder de informatie over de overgangstermijn, draagt bij aan het beter kunnen inprijzen door de windparkontwikkelaars van het risico van het </w:t>
      </w:r>
      <w:proofErr w:type="spellStart"/>
      <w:r>
        <w:rPr>
          <w:szCs w:val="18"/>
        </w:rPr>
        <w:t>invoedingstarief</w:t>
      </w:r>
      <w:proofErr w:type="spellEnd"/>
      <w:r>
        <w:rPr>
          <w:szCs w:val="18"/>
        </w:rPr>
        <w:t xml:space="preserve"> en kan leiden tot een lager tenderbedrag en daarmee lagere subsidiekosten voor de overheid. </w:t>
      </w:r>
    </w:p>
    <w:p w:rsidR="00CF7A2F" w:rsidP="00320A3A" w:rsidRDefault="00CF7A2F" w14:paraId="25C75EB0" w14:textId="77777777">
      <w:pPr>
        <w:rPr>
          <w:szCs w:val="18"/>
        </w:rPr>
      </w:pPr>
    </w:p>
    <w:p w:rsidR="00CF7A2F" w:rsidP="00320A3A" w:rsidRDefault="00CF7A2F" w14:paraId="6C884ADE" w14:textId="77777777">
      <w:pPr>
        <w:rPr>
          <w:szCs w:val="18"/>
        </w:rPr>
      </w:pPr>
      <w:r>
        <w:rPr>
          <w:szCs w:val="18"/>
        </w:rPr>
        <w:t>7</w:t>
      </w:r>
    </w:p>
    <w:p w:rsidR="00CF7A2F" w:rsidP="00320A3A" w:rsidRDefault="00CF7A2F" w14:paraId="43AD2B0C" w14:textId="77777777">
      <w:pPr>
        <w:rPr>
          <w:szCs w:val="18"/>
        </w:rPr>
      </w:pPr>
      <w:r>
        <w:rPr>
          <w:szCs w:val="18"/>
        </w:rPr>
        <w:t xml:space="preserve">Welk deel van de verhoging van de maximale tenderbedragen met € 13 per MWh en de daarmee samenhangende verhoging van het verplichtingenbudget met € 1,56 miljard was bedoeld om het risico van het </w:t>
      </w:r>
      <w:proofErr w:type="spellStart"/>
      <w:r>
        <w:rPr>
          <w:szCs w:val="18"/>
        </w:rPr>
        <w:t>invoedingstarief</w:t>
      </w:r>
      <w:proofErr w:type="spellEnd"/>
      <w:r>
        <w:rPr>
          <w:szCs w:val="18"/>
        </w:rPr>
        <w:t xml:space="preserve"> op te vangen?</w:t>
      </w:r>
    </w:p>
    <w:p w:rsidR="00CF7A2F" w:rsidP="00320A3A" w:rsidRDefault="00CF7A2F" w14:paraId="655943B3" w14:textId="77777777">
      <w:pPr>
        <w:rPr>
          <w:szCs w:val="18"/>
        </w:rPr>
      </w:pPr>
    </w:p>
    <w:p w:rsidR="00CF7A2F" w:rsidP="00320A3A" w:rsidRDefault="00CF7A2F" w14:paraId="2C8709CA" w14:textId="77777777">
      <w:pPr>
        <w:rPr>
          <w:szCs w:val="18"/>
        </w:rPr>
      </w:pPr>
      <w:r>
        <w:rPr>
          <w:szCs w:val="18"/>
        </w:rPr>
        <w:t xml:space="preserve">Antwoord </w:t>
      </w:r>
    </w:p>
    <w:p w:rsidR="00CF7A2F" w:rsidP="00320A3A" w:rsidRDefault="00CF7A2F" w14:paraId="538F431A" w14:textId="77777777">
      <w:pPr>
        <w:rPr>
          <w:szCs w:val="18"/>
        </w:rPr>
      </w:pPr>
      <w:r>
        <w:rPr>
          <w:szCs w:val="18"/>
        </w:rPr>
        <w:lastRenderedPageBreak/>
        <w:t>In de Kamerbrief over de definitieve tenderregelingen van IJmuiden Ver Gamma-A en Gamma-B zijn daarvoor de volgende tabellen opgenomen. Daarin is te lezen dat het leidt tot een verhoogd verplichtingenbudget van €780 miljoen per kavel. Dit bedrag kan lager uitvallen als het winnend tenderdrag lager is:</w:t>
      </w:r>
    </w:p>
    <w:p w:rsidR="00CF7A2F" w:rsidP="00320A3A" w:rsidRDefault="00CF7A2F" w14:paraId="3A0E298B" w14:textId="77777777">
      <w:pPr>
        <w:rPr>
          <w:szCs w:val="18"/>
        </w:rPr>
      </w:pPr>
    </w:p>
    <w:tbl>
      <w:tblPr>
        <w:tblW w:w="6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14"/>
        <w:gridCol w:w="2005"/>
        <w:gridCol w:w="2081"/>
      </w:tblGrid>
      <w:tr w:rsidR="00CF7A2F" w14:paraId="1DE41521" w14:textId="77777777">
        <w:trPr>
          <w:trHeight w:val="177"/>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4C5C7EF4" w14:textId="77777777">
            <w:pPr>
              <w:tabs>
                <w:tab w:val="center" w:pos="4536"/>
                <w:tab w:val="right" w:pos="9072"/>
              </w:tabs>
              <w:rPr>
                <w:rFonts w:cs="Calibri"/>
                <w:szCs w:val="18"/>
                <w:lang w:val="en-US"/>
              </w:rPr>
            </w:pPr>
            <w:r>
              <w:rPr>
                <w:rFonts w:cs="Calibri"/>
                <w:szCs w:val="18"/>
                <w:lang w:val="en-US"/>
              </w:rPr>
              <w:t>IJmuiden Ver Gamma- A </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137F3F18" w14:textId="77777777">
            <w:pPr>
              <w:tabs>
                <w:tab w:val="center" w:pos="4536"/>
                <w:tab w:val="right" w:pos="9072"/>
              </w:tabs>
              <w:rPr>
                <w:rFonts w:cs="Calibri"/>
                <w:szCs w:val="18"/>
                <w:lang w:val="en-US"/>
              </w:rPr>
            </w:pPr>
            <w:proofErr w:type="spellStart"/>
            <w:r>
              <w:rPr>
                <w:rFonts w:cs="Calibri"/>
                <w:szCs w:val="18"/>
                <w:lang w:val="en-US"/>
              </w:rPr>
              <w:t>Kasreservering</w:t>
            </w:r>
            <w:proofErr w:type="spellEnd"/>
            <w:r>
              <w:rPr>
                <w:rFonts w:cs="Calibri"/>
                <w:szCs w:val="18"/>
                <w:lang w:val="en-US"/>
              </w:rPr>
              <w:t xml:space="preserve"> incl 10% </w:t>
            </w:r>
            <w:proofErr w:type="spellStart"/>
            <w:r>
              <w:rPr>
                <w:rFonts w:cs="Calibri"/>
                <w:szCs w:val="18"/>
                <w:lang w:val="en-US"/>
              </w:rPr>
              <w:t>prijsrisicobuffer</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13A43724" w14:textId="77777777">
            <w:pPr>
              <w:tabs>
                <w:tab w:val="center" w:pos="4536"/>
                <w:tab w:val="right" w:pos="9072"/>
              </w:tabs>
              <w:rPr>
                <w:rFonts w:cs="Calibri"/>
                <w:szCs w:val="18"/>
                <w:lang w:val="en-US"/>
              </w:rPr>
            </w:pPr>
            <w:proofErr w:type="spellStart"/>
            <w:r>
              <w:rPr>
                <w:rFonts w:cs="Calibri"/>
                <w:szCs w:val="18"/>
                <w:lang w:val="en-US"/>
              </w:rPr>
              <w:t>Subsidieplafond</w:t>
            </w:r>
            <w:proofErr w:type="spellEnd"/>
            <w:r>
              <w:rPr>
                <w:rFonts w:cs="Calibri"/>
                <w:szCs w:val="18"/>
                <w:lang w:val="en-US"/>
              </w:rPr>
              <w:t> </w:t>
            </w:r>
          </w:p>
        </w:tc>
      </w:tr>
      <w:tr w:rsidR="00CF7A2F" w14:paraId="5F581260" w14:textId="77777777">
        <w:trPr>
          <w:trHeight w:val="239"/>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520B5D8B" w14:textId="77777777">
            <w:pPr>
              <w:tabs>
                <w:tab w:val="center" w:pos="4536"/>
                <w:tab w:val="right" w:pos="9072"/>
              </w:tabs>
              <w:rPr>
                <w:rFonts w:cs="Calibri"/>
                <w:szCs w:val="18"/>
                <w:lang w:val="en-US"/>
              </w:rPr>
            </w:pPr>
            <w:r>
              <w:rPr>
                <w:rFonts w:cs="Calibri"/>
                <w:szCs w:val="18"/>
                <w:lang w:val="en-US"/>
              </w:rPr>
              <w:t>Bij €104/MWh </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19106D13" w14:textId="77777777">
            <w:pPr>
              <w:tabs>
                <w:tab w:val="center" w:pos="4536"/>
                <w:tab w:val="right" w:pos="9072"/>
              </w:tabs>
              <w:rPr>
                <w:rFonts w:cs="Calibri"/>
                <w:szCs w:val="18"/>
                <w:lang w:val="en-US"/>
              </w:rPr>
            </w:pPr>
            <w:r>
              <w:rPr>
                <w:rFonts w:cs="Calibri"/>
                <w:szCs w:val="18"/>
                <w:lang w:val="en-US"/>
              </w:rPr>
              <w:t>€2,379 </w:t>
            </w:r>
            <w:proofErr w:type="spellStart"/>
            <w:r>
              <w:rPr>
                <w:rFonts w:cs="Calibri"/>
                <w:szCs w:val="18"/>
                <w:lang w:val="en-US"/>
              </w:rPr>
              <w:t>mld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263521A2" w14:textId="77777777">
            <w:pPr>
              <w:tabs>
                <w:tab w:val="center" w:pos="4536"/>
                <w:tab w:val="right" w:pos="9072"/>
              </w:tabs>
              <w:rPr>
                <w:rFonts w:cs="Calibri"/>
                <w:szCs w:val="18"/>
                <w:lang w:val="en-US"/>
              </w:rPr>
            </w:pPr>
            <w:r>
              <w:rPr>
                <w:rFonts w:cs="Calibri"/>
                <w:szCs w:val="18"/>
                <w:lang w:val="en-US"/>
              </w:rPr>
              <w:t>€3,978 </w:t>
            </w:r>
            <w:proofErr w:type="spellStart"/>
            <w:r>
              <w:rPr>
                <w:rFonts w:cs="Calibri"/>
                <w:szCs w:val="18"/>
                <w:lang w:val="en-US"/>
              </w:rPr>
              <w:t>mld</w:t>
            </w:r>
            <w:proofErr w:type="spellEnd"/>
          </w:p>
        </w:tc>
      </w:tr>
      <w:tr w:rsidR="00CF7A2F" w14:paraId="28F7BA7C" w14:textId="77777777">
        <w:trPr>
          <w:trHeight w:val="244"/>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50C5D480" w14:textId="77777777">
            <w:pPr>
              <w:tabs>
                <w:tab w:val="center" w:pos="4536"/>
                <w:tab w:val="right" w:pos="9072"/>
              </w:tabs>
              <w:rPr>
                <w:rFonts w:cs="Calibri"/>
                <w:szCs w:val="18"/>
                <w:lang w:val="en-US"/>
              </w:rPr>
            </w:pPr>
            <w:r>
              <w:rPr>
                <w:rFonts w:cs="Calibri"/>
                <w:szCs w:val="18"/>
                <w:lang w:val="en-US"/>
              </w:rPr>
              <w:t>Bij €117/MWh</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5076145B" w14:textId="77777777">
            <w:pPr>
              <w:tabs>
                <w:tab w:val="center" w:pos="4536"/>
                <w:tab w:val="right" w:pos="9072"/>
              </w:tabs>
              <w:rPr>
                <w:rFonts w:cs="Calibri"/>
                <w:szCs w:val="18"/>
                <w:lang w:val="en-US"/>
              </w:rPr>
            </w:pPr>
            <w:r>
              <w:rPr>
                <w:rFonts w:cs="Calibri"/>
                <w:szCs w:val="18"/>
                <w:lang w:val="en-US"/>
              </w:rPr>
              <w:t>€3,159 </w:t>
            </w:r>
            <w:proofErr w:type="spellStart"/>
            <w:r>
              <w:rPr>
                <w:rFonts w:cs="Calibri"/>
                <w:szCs w:val="18"/>
                <w:lang w:val="en-US"/>
              </w:rPr>
              <w:t>mld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5CF7C970" w14:textId="77777777">
            <w:pPr>
              <w:tabs>
                <w:tab w:val="center" w:pos="4536"/>
                <w:tab w:val="right" w:pos="9072"/>
              </w:tabs>
              <w:rPr>
                <w:rFonts w:cs="Calibri"/>
                <w:szCs w:val="18"/>
                <w:lang w:val="en-US"/>
              </w:rPr>
            </w:pPr>
            <w:r>
              <w:rPr>
                <w:rFonts w:cs="Calibri"/>
                <w:szCs w:val="18"/>
                <w:lang w:val="en-US"/>
              </w:rPr>
              <w:t>€4,758 </w:t>
            </w:r>
            <w:proofErr w:type="spellStart"/>
            <w:r>
              <w:rPr>
                <w:rFonts w:cs="Calibri"/>
                <w:szCs w:val="18"/>
                <w:lang w:val="en-US"/>
              </w:rPr>
              <w:t>mld</w:t>
            </w:r>
            <w:proofErr w:type="spellEnd"/>
          </w:p>
        </w:tc>
      </w:tr>
      <w:tr w:rsidR="00CF7A2F" w14:paraId="20403D59" w14:textId="77777777">
        <w:trPr>
          <w:trHeight w:val="244"/>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42B9F6FF" w14:textId="77777777">
            <w:pPr>
              <w:tabs>
                <w:tab w:val="center" w:pos="4536"/>
                <w:tab w:val="right" w:pos="9072"/>
              </w:tabs>
              <w:rPr>
                <w:rFonts w:cs="Calibri"/>
                <w:szCs w:val="18"/>
                <w:lang w:val="en-US"/>
              </w:rPr>
            </w:pPr>
            <w:proofErr w:type="spellStart"/>
            <w:r>
              <w:rPr>
                <w:rFonts w:cs="Calibri"/>
                <w:szCs w:val="18"/>
                <w:lang w:val="en-US"/>
              </w:rPr>
              <w:t>Verschil</w:t>
            </w:r>
            <w:proofErr w:type="spellEnd"/>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73456734" w14:textId="77777777">
            <w:pPr>
              <w:tabs>
                <w:tab w:val="center" w:pos="4536"/>
                <w:tab w:val="right" w:pos="9072"/>
              </w:tabs>
              <w:rPr>
                <w:rFonts w:cs="Calibri"/>
                <w:szCs w:val="18"/>
                <w:lang w:val="en-US"/>
              </w:rPr>
            </w:pPr>
            <w:bookmarkStart w:name="OLE_LINK68" w:id="1"/>
            <w:r>
              <w:rPr>
                <w:rFonts w:cs="Calibri"/>
                <w:szCs w:val="18"/>
                <w:lang w:val="en-US"/>
              </w:rPr>
              <w:t xml:space="preserve">+ €0,780 </w:t>
            </w:r>
            <w:proofErr w:type="spellStart"/>
            <w:r>
              <w:rPr>
                <w:rFonts w:cs="Calibri"/>
                <w:szCs w:val="18"/>
                <w:lang w:val="en-US"/>
              </w:rPr>
              <w:t>ml</w:t>
            </w:r>
            <w:bookmarkEnd w:id="1"/>
            <w:r>
              <w:rPr>
                <w:rFonts w:cs="Calibri"/>
                <w:szCs w:val="18"/>
                <w:lang w:val="en-US"/>
              </w:rPr>
              <w:t>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48953C89" w14:textId="77777777">
            <w:pPr>
              <w:tabs>
                <w:tab w:val="center" w:pos="4536"/>
                <w:tab w:val="right" w:pos="9072"/>
              </w:tabs>
              <w:rPr>
                <w:rFonts w:cs="Calibri"/>
                <w:szCs w:val="18"/>
                <w:lang w:val="en-US"/>
              </w:rPr>
            </w:pPr>
            <w:r>
              <w:rPr>
                <w:rFonts w:cs="Calibri"/>
                <w:szCs w:val="18"/>
                <w:lang w:val="en-US"/>
              </w:rPr>
              <w:t xml:space="preserve">+ €0,780 </w:t>
            </w:r>
            <w:proofErr w:type="spellStart"/>
            <w:r>
              <w:rPr>
                <w:rFonts w:cs="Calibri"/>
                <w:szCs w:val="18"/>
                <w:lang w:val="en-US"/>
              </w:rPr>
              <w:t>mld</w:t>
            </w:r>
            <w:proofErr w:type="spellEnd"/>
          </w:p>
        </w:tc>
      </w:tr>
    </w:tbl>
    <w:p w:rsidR="00CF7A2F" w:rsidP="00320A3A" w:rsidRDefault="00CF7A2F" w14:paraId="5B7E302F" w14:textId="77777777">
      <w:pPr>
        <w:ind w:left="1404"/>
        <w:contextualSpacing/>
        <w:rPr>
          <w:rFonts w:cs="Calibri"/>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80"/>
        <w:gridCol w:w="2005"/>
        <w:gridCol w:w="2100"/>
      </w:tblGrid>
      <w:tr w:rsidR="00CF7A2F" w14:paraId="5A2FA0C7" w14:textId="77777777">
        <w:trPr>
          <w:trHeight w:val="173"/>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130B6567" w14:textId="77777777">
            <w:pPr>
              <w:tabs>
                <w:tab w:val="center" w:pos="4536"/>
                <w:tab w:val="right" w:pos="9072"/>
              </w:tabs>
              <w:rPr>
                <w:rFonts w:cs="Calibri"/>
                <w:szCs w:val="18"/>
                <w:lang w:val="en-US"/>
              </w:rPr>
            </w:pPr>
            <w:r>
              <w:rPr>
                <w:rFonts w:cs="Calibri"/>
                <w:szCs w:val="18"/>
                <w:lang w:val="en-US"/>
              </w:rPr>
              <w:t>IJmuiden Ver Gamma- B </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373DCA3B" w14:textId="77777777">
            <w:pPr>
              <w:tabs>
                <w:tab w:val="center" w:pos="4536"/>
                <w:tab w:val="right" w:pos="9072"/>
              </w:tabs>
              <w:rPr>
                <w:rFonts w:cs="Calibri"/>
                <w:szCs w:val="18"/>
                <w:lang w:val="en-US"/>
              </w:rPr>
            </w:pPr>
            <w:proofErr w:type="spellStart"/>
            <w:r>
              <w:rPr>
                <w:rFonts w:cs="Calibri"/>
                <w:szCs w:val="18"/>
                <w:lang w:val="en-US"/>
              </w:rPr>
              <w:t>Kasreservering</w:t>
            </w:r>
            <w:proofErr w:type="spellEnd"/>
            <w:r>
              <w:rPr>
                <w:rFonts w:cs="Calibri"/>
                <w:szCs w:val="18"/>
                <w:lang w:val="en-US"/>
              </w:rPr>
              <w:t> </w:t>
            </w:r>
            <w:bookmarkStart w:name="OLE_LINK69" w:id="2"/>
            <w:r>
              <w:rPr>
                <w:rFonts w:cs="Calibri"/>
                <w:szCs w:val="18"/>
                <w:lang w:val="en-US"/>
              </w:rPr>
              <w:t xml:space="preserve">incl 10% </w:t>
            </w:r>
            <w:proofErr w:type="spellStart"/>
            <w:r>
              <w:rPr>
                <w:rFonts w:cs="Calibri"/>
                <w:szCs w:val="18"/>
                <w:lang w:val="en-US"/>
              </w:rPr>
              <w:t>prijsrisicobuffer</w:t>
            </w:r>
            <w:bookmarkEnd w:id="2"/>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5883FA8C" w14:textId="77777777">
            <w:pPr>
              <w:tabs>
                <w:tab w:val="center" w:pos="4536"/>
                <w:tab w:val="right" w:pos="9072"/>
              </w:tabs>
              <w:rPr>
                <w:rFonts w:cs="Calibri"/>
                <w:szCs w:val="18"/>
                <w:lang w:val="en-US"/>
              </w:rPr>
            </w:pPr>
            <w:proofErr w:type="spellStart"/>
            <w:r>
              <w:rPr>
                <w:rFonts w:cs="Calibri"/>
                <w:szCs w:val="18"/>
                <w:lang w:val="en-US"/>
              </w:rPr>
              <w:t>Subsidieplafond</w:t>
            </w:r>
            <w:proofErr w:type="spellEnd"/>
            <w:r>
              <w:rPr>
                <w:rFonts w:cs="Calibri"/>
                <w:szCs w:val="18"/>
                <w:lang w:val="en-US"/>
              </w:rPr>
              <w:t> </w:t>
            </w:r>
          </w:p>
        </w:tc>
      </w:tr>
      <w:tr w:rsidR="00CF7A2F" w14:paraId="5990B56D" w14:textId="77777777">
        <w:trPr>
          <w:trHeight w:val="263"/>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7037DCEA" w14:textId="77777777">
            <w:pPr>
              <w:tabs>
                <w:tab w:val="center" w:pos="4536"/>
                <w:tab w:val="right" w:pos="9072"/>
              </w:tabs>
              <w:rPr>
                <w:rFonts w:cs="Calibri"/>
                <w:szCs w:val="18"/>
                <w:lang w:val="en-US"/>
              </w:rPr>
            </w:pPr>
            <w:r>
              <w:rPr>
                <w:rFonts w:cs="Calibri"/>
                <w:szCs w:val="18"/>
                <w:lang w:val="en-US"/>
              </w:rPr>
              <w:t>Bij €103/MWh </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2A22E90E" w14:textId="77777777">
            <w:pPr>
              <w:tabs>
                <w:tab w:val="center" w:pos="4536"/>
                <w:tab w:val="right" w:pos="9072"/>
              </w:tabs>
              <w:rPr>
                <w:rFonts w:cs="Calibri"/>
                <w:szCs w:val="18"/>
                <w:lang w:val="en-US"/>
              </w:rPr>
            </w:pPr>
            <w:r>
              <w:rPr>
                <w:rFonts w:cs="Calibri"/>
                <w:szCs w:val="18"/>
                <w:lang w:val="en-US"/>
              </w:rPr>
              <w:t>€2,271 </w:t>
            </w:r>
            <w:proofErr w:type="spellStart"/>
            <w:r>
              <w:rPr>
                <w:rFonts w:cs="Calibri"/>
                <w:szCs w:val="18"/>
                <w:lang w:val="en-US"/>
              </w:rPr>
              <w:t>mld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1853953B" w14:textId="77777777">
            <w:pPr>
              <w:tabs>
                <w:tab w:val="center" w:pos="4536"/>
                <w:tab w:val="right" w:pos="9072"/>
              </w:tabs>
              <w:rPr>
                <w:rFonts w:cs="Calibri"/>
                <w:szCs w:val="18"/>
                <w:lang w:val="en-US"/>
              </w:rPr>
            </w:pPr>
            <w:r>
              <w:rPr>
                <w:rFonts w:cs="Calibri"/>
                <w:szCs w:val="18"/>
                <w:lang w:val="en-US"/>
              </w:rPr>
              <w:t>€3,918 </w:t>
            </w:r>
            <w:proofErr w:type="spellStart"/>
            <w:r>
              <w:rPr>
                <w:rFonts w:cs="Calibri"/>
                <w:szCs w:val="18"/>
                <w:lang w:val="en-US"/>
              </w:rPr>
              <w:t>mld</w:t>
            </w:r>
            <w:proofErr w:type="spellEnd"/>
          </w:p>
        </w:tc>
      </w:tr>
      <w:tr w:rsidR="00CF7A2F" w14:paraId="08063EDD" w14:textId="77777777">
        <w:trPr>
          <w:trHeight w:val="60"/>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1F8CEAE5" w14:textId="77777777">
            <w:pPr>
              <w:tabs>
                <w:tab w:val="center" w:pos="4536"/>
                <w:tab w:val="right" w:pos="9072"/>
              </w:tabs>
              <w:rPr>
                <w:rFonts w:cs="Calibri"/>
                <w:szCs w:val="18"/>
                <w:lang w:val="en-US"/>
              </w:rPr>
            </w:pPr>
            <w:r>
              <w:rPr>
                <w:rFonts w:cs="Calibri"/>
                <w:szCs w:val="18"/>
                <w:lang w:val="en-US"/>
              </w:rPr>
              <w:t>Bij €116/MWh</w:t>
            </w:r>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7C1C13ED" w14:textId="77777777">
            <w:pPr>
              <w:tabs>
                <w:tab w:val="center" w:pos="4536"/>
                <w:tab w:val="right" w:pos="9072"/>
              </w:tabs>
              <w:rPr>
                <w:rFonts w:cs="Calibri"/>
                <w:szCs w:val="18"/>
                <w:lang w:val="en-US"/>
              </w:rPr>
            </w:pPr>
            <w:r>
              <w:rPr>
                <w:rFonts w:cs="Calibri"/>
                <w:szCs w:val="18"/>
                <w:lang w:val="en-US"/>
              </w:rPr>
              <w:t>€3,051 </w:t>
            </w:r>
            <w:proofErr w:type="spellStart"/>
            <w:r>
              <w:rPr>
                <w:rFonts w:cs="Calibri"/>
                <w:szCs w:val="18"/>
                <w:lang w:val="en-US"/>
              </w:rPr>
              <w:t>mld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5C3568E7" w14:textId="77777777">
            <w:pPr>
              <w:tabs>
                <w:tab w:val="center" w:pos="4536"/>
                <w:tab w:val="right" w:pos="9072"/>
              </w:tabs>
              <w:rPr>
                <w:rFonts w:cs="Calibri"/>
                <w:szCs w:val="18"/>
                <w:lang w:val="en-US"/>
              </w:rPr>
            </w:pPr>
            <w:r>
              <w:rPr>
                <w:rFonts w:cs="Calibri"/>
                <w:szCs w:val="18"/>
                <w:lang w:val="en-US"/>
              </w:rPr>
              <w:t>€4,698 </w:t>
            </w:r>
            <w:proofErr w:type="spellStart"/>
            <w:r>
              <w:rPr>
                <w:rFonts w:cs="Calibri"/>
                <w:szCs w:val="18"/>
                <w:lang w:val="en-US"/>
              </w:rPr>
              <w:t>mld</w:t>
            </w:r>
            <w:proofErr w:type="spellEnd"/>
          </w:p>
        </w:tc>
      </w:tr>
      <w:tr w:rsidR="00CF7A2F" w14:paraId="6ACE3199" w14:textId="77777777">
        <w:trPr>
          <w:trHeight w:val="60"/>
          <w:jc w:val="center"/>
        </w:trPr>
        <w:tc>
          <w:tcPr>
            <w:tcW w:w="2280" w:type="dxa"/>
            <w:tcBorders>
              <w:top w:val="single" w:color="auto" w:sz="4" w:space="0"/>
              <w:left w:val="single" w:color="auto" w:sz="4" w:space="0"/>
              <w:bottom w:val="single" w:color="auto" w:sz="4" w:space="0"/>
              <w:right w:val="single" w:color="auto" w:sz="4" w:space="0"/>
            </w:tcBorders>
            <w:hideMark/>
          </w:tcPr>
          <w:p w:rsidR="00CF7A2F" w:rsidRDefault="00CF7A2F" w14:paraId="72A648B3" w14:textId="77777777">
            <w:pPr>
              <w:tabs>
                <w:tab w:val="center" w:pos="4536"/>
                <w:tab w:val="right" w:pos="9072"/>
              </w:tabs>
              <w:rPr>
                <w:rFonts w:cs="Calibri"/>
                <w:szCs w:val="18"/>
                <w:lang w:val="en-US"/>
              </w:rPr>
            </w:pPr>
            <w:proofErr w:type="spellStart"/>
            <w:r>
              <w:rPr>
                <w:rFonts w:cs="Calibri"/>
                <w:szCs w:val="18"/>
                <w:lang w:val="en-US"/>
              </w:rPr>
              <w:t>Verschil</w:t>
            </w:r>
            <w:proofErr w:type="spellEnd"/>
          </w:p>
        </w:tc>
        <w:tc>
          <w:tcPr>
            <w:tcW w:w="1920" w:type="dxa"/>
            <w:tcBorders>
              <w:top w:val="single" w:color="auto" w:sz="4" w:space="0"/>
              <w:left w:val="single" w:color="auto" w:sz="4" w:space="0"/>
              <w:bottom w:val="single" w:color="auto" w:sz="4" w:space="0"/>
              <w:right w:val="single" w:color="auto" w:sz="4" w:space="0"/>
            </w:tcBorders>
            <w:hideMark/>
          </w:tcPr>
          <w:p w:rsidR="00CF7A2F" w:rsidRDefault="00CF7A2F" w14:paraId="703FDF81" w14:textId="77777777">
            <w:pPr>
              <w:tabs>
                <w:tab w:val="center" w:pos="4536"/>
                <w:tab w:val="right" w:pos="9072"/>
              </w:tabs>
              <w:rPr>
                <w:rFonts w:cs="Calibri"/>
                <w:szCs w:val="18"/>
                <w:lang w:val="en-US"/>
              </w:rPr>
            </w:pPr>
            <w:r>
              <w:rPr>
                <w:rFonts w:cs="Calibri"/>
                <w:szCs w:val="18"/>
                <w:lang w:val="en-US"/>
              </w:rPr>
              <w:t xml:space="preserve">+ €0,780 </w:t>
            </w:r>
            <w:proofErr w:type="spellStart"/>
            <w:r>
              <w:rPr>
                <w:rFonts w:cs="Calibri"/>
                <w:szCs w:val="18"/>
                <w:lang w:val="en-US"/>
              </w:rPr>
              <w:t>mld</w:t>
            </w:r>
            <w:proofErr w:type="spellEnd"/>
          </w:p>
        </w:tc>
        <w:tc>
          <w:tcPr>
            <w:tcW w:w="2100" w:type="dxa"/>
            <w:tcBorders>
              <w:top w:val="single" w:color="auto" w:sz="4" w:space="0"/>
              <w:left w:val="single" w:color="auto" w:sz="4" w:space="0"/>
              <w:bottom w:val="single" w:color="auto" w:sz="4" w:space="0"/>
              <w:right w:val="single" w:color="auto" w:sz="4" w:space="0"/>
            </w:tcBorders>
            <w:hideMark/>
          </w:tcPr>
          <w:p w:rsidR="00CF7A2F" w:rsidRDefault="00CF7A2F" w14:paraId="5D6E4808" w14:textId="77777777">
            <w:pPr>
              <w:tabs>
                <w:tab w:val="center" w:pos="4536"/>
                <w:tab w:val="right" w:pos="9072"/>
              </w:tabs>
              <w:rPr>
                <w:rFonts w:cs="Calibri"/>
                <w:szCs w:val="18"/>
                <w:lang w:val="en-US"/>
              </w:rPr>
            </w:pPr>
            <w:r>
              <w:rPr>
                <w:rFonts w:cs="Calibri"/>
                <w:szCs w:val="18"/>
                <w:lang w:val="en-US"/>
              </w:rPr>
              <w:t xml:space="preserve">+ €0,780 </w:t>
            </w:r>
            <w:proofErr w:type="spellStart"/>
            <w:r>
              <w:rPr>
                <w:rFonts w:cs="Calibri"/>
                <w:szCs w:val="18"/>
                <w:lang w:val="en-US"/>
              </w:rPr>
              <w:t>mld</w:t>
            </w:r>
            <w:proofErr w:type="spellEnd"/>
          </w:p>
        </w:tc>
      </w:tr>
    </w:tbl>
    <w:p w:rsidR="00CF7A2F" w:rsidP="00320A3A" w:rsidRDefault="00CF7A2F" w14:paraId="03519A7F" w14:textId="77777777">
      <w:pPr>
        <w:rPr>
          <w:szCs w:val="18"/>
        </w:rPr>
      </w:pPr>
    </w:p>
    <w:p w:rsidR="00CF7A2F" w:rsidP="00320A3A" w:rsidRDefault="00CF7A2F" w14:paraId="6CA09A6E" w14:textId="77777777">
      <w:pPr>
        <w:rPr>
          <w:szCs w:val="18"/>
        </w:rPr>
      </w:pPr>
    </w:p>
    <w:p w:rsidR="00CF7A2F" w:rsidP="00320A3A" w:rsidRDefault="00CF7A2F" w14:paraId="685152D1" w14:textId="77777777">
      <w:pPr>
        <w:rPr>
          <w:szCs w:val="18"/>
        </w:rPr>
      </w:pPr>
      <w:r>
        <w:rPr>
          <w:szCs w:val="18"/>
        </w:rPr>
        <w:t>8</w:t>
      </w:r>
    </w:p>
    <w:p w:rsidR="00CF7A2F" w:rsidP="00320A3A" w:rsidRDefault="00CF7A2F" w14:paraId="12E2F937" w14:textId="77777777">
      <w:pPr>
        <w:rPr>
          <w:szCs w:val="18"/>
        </w:rPr>
      </w:pPr>
      <w:r>
        <w:rPr>
          <w:szCs w:val="18"/>
        </w:rPr>
        <w:t>Bent u bereid het Planbureau voor de Leefomgeving (PBL) vóór de openstelling van de tenders opnieuw te laten berekenen welke maximale tenderbedragen nodig zijn, rekening houdend met de aangekondigde overgangsregeling?</w:t>
      </w:r>
    </w:p>
    <w:p w:rsidR="00CF7A2F" w:rsidP="00320A3A" w:rsidRDefault="00CF7A2F" w14:paraId="287F6BEE" w14:textId="77777777">
      <w:pPr>
        <w:rPr>
          <w:szCs w:val="18"/>
        </w:rPr>
      </w:pPr>
    </w:p>
    <w:p w:rsidR="00CF7A2F" w:rsidP="00320A3A" w:rsidRDefault="00CF7A2F" w14:paraId="3B5C3EBC" w14:textId="77777777">
      <w:pPr>
        <w:rPr>
          <w:szCs w:val="18"/>
        </w:rPr>
      </w:pPr>
      <w:r>
        <w:rPr>
          <w:szCs w:val="18"/>
        </w:rPr>
        <w:t xml:space="preserve">Antwoord </w:t>
      </w:r>
    </w:p>
    <w:p w:rsidR="00CF7A2F" w:rsidP="00320A3A" w:rsidRDefault="00CF7A2F" w14:paraId="5CDF91C1" w14:textId="77777777">
      <w:pPr>
        <w:rPr>
          <w:szCs w:val="18"/>
        </w:rPr>
      </w:pPr>
      <w:r>
        <w:rPr>
          <w:szCs w:val="18"/>
        </w:rPr>
        <w:t xml:space="preserve">Nee, omdat ik niet van plan ben om het maximale tenderbedrag nog aan te passen. Op basis van het budget en voorwaarden in de definitieve tenderregeling besluit een windparkontwikkelaar wel of geen vergunningsaanvraag voor te bereiden. De kosten van het voorbereiden van een aanvraag zijn aanzienlijk. Een definitieve tenderregeling moet dus voldoende zekerheid bieden voor windparkontwikkelaars om een aanvraag voor te willen bereiden en in te kunnen dienen. Als er ná publicatie van de definitieve tenderregeling wel wijzigingen worden aangebracht (lees: verlaagd), dan leidt dit tot een afbreukrisico voor deze en toekomstige tenders van windparken op zee. Dit omdat de definitieve tenderregeling windparkontwikkelaars dan onvoldoende zekerheid biedt over de robuustheid van de kaders die nodig zijn om een vergunningsaanvraag voor te kunnen bereiden en in te dienen die past binnen hun businesscase. </w:t>
      </w:r>
    </w:p>
    <w:p w:rsidR="00CF7A2F" w:rsidP="00320A3A" w:rsidRDefault="00CF7A2F" w14:paraId="07E782B1" w14:textId="77777777">
      <w:pPr>
        <w:rPr>
          <w:szCs w:val="18"/>
        </w:rPr>
      </w:pPr>
    </w:p>
    <w:p w:rsidR="00CF7A2F" w:rsidP="00320A3A" w:rsidRDefault="00CF7A2F" w14:paraId="578D7127" w14:textId="77777777">
      <w:pPr>
        <w:rPr>
          <w:szCs w:val="18"/>
        </w:rPr>
      </w:pPr>
      <w:r>
        <w:rPr>
          <w:szCs w:val="18"/>
        </w:rPr>
        <w:lastRenderedPageBreak/>
        <w:t xml:space="preserve">Wel zal in de voorbereiding van volgende tenders voor windparken op zee zoveel als mogelijk de ervaring met deze tender en de meest recente informatie van de ACM over het </w:t>
      </w:r>
      <w:proofErr w:type="spellStart"/>
      <w:r>
        <w:rPr>
          <w:szCs w:val="18"/>
        </w:rPr>
        <w:t>invoedingstarief</w:t>
      </w:r>
      <w:proofErr w:type="spellEnd"/>
      <w:r>
        <w:rPr>
          <w:szCs w:val="18"/>
        </w:rPr>
        <w:t xml:space="preserve"> worden betrokken. </w:t>
      </w:r>
    </w:p>
    <w:p w:rsidR="00CF7A2F" w:rsidP="00320A3A" w:rsidRDefault="00CF7A2F" w14:paraId="683ACF7D" w14:textId="77777777">
      <w:pPr>
        <w:rPr>
          <w:i/>
          <w:iCs/>
          <w:szCs w:val="18"/>
        </w:rPr>
      </w:pPr>
    </w:p>
    <w:p w:rsidR="00CF7A2F" w:rsidP="00320A3A" w:rsidRDefault="00CF7A2F" w14:paraId="3336E4F3" w14:textId="77777777">
      <w:pPr>
        <w:rPr>
          <w:szCs w:val="18"/>
        </w:rPr>
      </w:pPr>
      <w:r>
        <w:rPr>
          <w:szCs w:val="18"/>
        </w:rPr>
        <w:t>9</w:t>
      </w:r>
    </w:p>
    <w:p w:rsidR="00CF7A2F" w:rsidP="00320A3A" w:rsidRDefault="00CF7A2F" w14:paraId="5BF9FF63" w14:textId="77777777">
      <w:pPr>
        <w:rPr>
          <w:szCs w:val="18"/>
        </w:rPr>
      </w:pPr>
      <w:r>
        <w:rPr>
          <w:szCs w:val="18"/>
        </w:rPr>
        <w:t>Bent u bereid de maximale tenderbedragen en subsidieplafonds vóór de openstelling van de tenders te verlagen wanneer uit deze berekening blijkt dat de huidige bedragen niet langer noodzakelijk zijn?</w:t>
      </w:r>
    </w:p>
    <w:p w:rsidR="00CF7A2F" w:rsidP="00320A3A" w:rsidRDefault="00CF7A2F" w14:paraId="20C77340" w14:textId="77777777">
      <w:pPr>
        <w:rPr>
          <w:szCs w:val="18"/>
        </w:rPr>
      </w:pPr>
    </w:p>
    <w:p w:rsidR="00CF7A2F" w:rsidP="00320A3A" w:rsidRDefault="00CF7A2F" w14:paraId="1E9D2283" w14:textId="77777777">
      <w:pPr>
        <w:rPr>
          <w:szCs w:val="18"/>
        </w:rPr>
      </w:pPr>
      <w:r>
        <w:rPr>
          <w:szCs w:val="18"/>
        </w:rPr>
        <w:t xml:space="preserve">Antwoord </w:t>
      </w:r>
    </w:p>
    <w:p w:rsidR="00CF7A2F" w:rsidP="00320A3A" w:rsidRDefault="00CF7A2F" w14:paraId="0D41C147" w14:textId="77777777">
      <w:pPr>
        <w:rPr>
          <w:szCs w:val="18"/>
        </w:rPr>
      </w:pPr>
      <w:r>
        <w:rPr>
          <w:szCs w:val="18"/>
        </w:rPr>
        <w:t>Nee. Zie het antwoord onder 8.</w:t>
      </w:r>
    </w:p>
    <w:p w:rsidR="00CF7A2F" w:rsidP="00320A3A" w:rsidRDefault="00CF7A2F" w14:paraId="2EA0716C" w14:textId="77777777">
      <w:pPr>
        <w:rPr>
          <w:szCs w:val="18"/>
        </w:rPr>
      </w:pPr>
    </w:p>
    <w:p w:rsidR="00CF7A2F" w:rsidP="00320A3A" w:rsidRDefault="00CF7A2F" w14:paraId="5C2C11A7" w14:textId="77777777">
      <w:pPr>
        <w:rPr>
          <w:szCs w:val="18"/>
        </w:rPr>
      </w:pPr>
      <w:r>
        <w:rPr>
          <w:szCs w:val="18"/>
        </w:rPr>
        <w:t>10</w:t>
      </w:r>
    </w:p>
    <w:p w:rsidR="00CF7A2F" w:rsidP="00320A3A" w:rsidRDefault="00CF7A2F" w14:paraId="21AE1035" w14:textId="77777777">
      <w:pPr>
        <w:rPr>
          <w:szCs w:val="18"/>
        </w:rPr>
      </w:pPr>
      <w:r>
        <w:rPr>
          <w:szCs w:val="18"/>
        </w:rPr>
        <w:t>Hoe voorkomt u dat windparkontwikkelaars subsidie ontvangen voor kosten die zij vanwege het overgangsrecht tijdens de subsidieperiode niet hoeven te maken?</w:t>
      </w:r>
    </w:p>
    <w:p w:rsidR="00CF7A2F" w:rsidP="00320A3A" w:rsidRDefault="00CF7A2F" w14:paraId="2DB0813E" w14:textId="77777777">
      <w:pPr>
        <w:rPr>
          <w:szCs w:val="18"/>
        </w:rPr>
      </w:pPr>
    </w:p>
    <w:p w:rsidR="00CF7A2F" w:rsidP="00320A3A" w:rsidRDefault="00CF7A2F" w14:paraId="675B0602" w14:textId="77777777">
      <w:pPr>
        <w:rPr>
          <w:szCs w:val="18"/>
        </w:rPr>
      </w:pPr>
      <w:r>
        <w:rPr>
          <w:szCs w:val="18"/>
        </w:rPr>
        <w:t xml:space="preserve">Antwoord </w:t>
      </w:r>
    </w:p>
    <w:p w:rsidR="00CF7A2F" w:rsidP="00320A3A" w:rsidRDefault="00CF7A2F" w14:paraId="2A025671" w14:textId="77777777">
      <w:pPr>
        <w:rPr>
          <w:szCs w:val="18"/>
        </w:rPr>
      </w:pPr>
      <w:r>
        <w:rPr>
          <w:szCs w:val="18"/>
        </w:rPr>
        <w:t xml:space="preserve">Omdat het een tender in competitie is zal een windparkontwikkelaar voor een grotere </w:t>
      </w:r>
      <w:proofErr w:type="spellStart"/>
      <w:r>
        <w:rPr>
          <w:szCs w:val="18"/>
        </w:rPr>
        <w:t>winkans</w:t>
      </w:r>
      <w:proofErr w:type="spellEnd"/>
      <w:r>
        <w:rPr>
          <w:szCs w:val="18"/>
        </w:rPr>
        <w:t xml:space="preserve"> een lager tenderbedrag willen bieden als de businesscase daartoe ruimte biedt. Het PBL bevestigt in het adviesrapport dat voldoende budgettaire ruimte naar verwachting bijdraagt aan een toenemende competitie, wat kan bijdragen aan een lager winnend tenderbedrag en daarmee lagere kosten voor de Rijksoverheid. Zoveel als mogelijk informatie en zekerheid van de ACM ná de definitieve tenderregeling en vóór het sluiten van de tender, waaronder de informatie over de overgangstermijn, draagt bij aan het beter kunnen inprijzen door de windparkontwikkelaars van het risico van het </w:t>
      </w:r>
      <w:proofErr w:type="spellStart"/>
      <w:r>
        <w:rPr>
          <w:szCs w:val="18"/>
        </w:rPr>
        <w:t>invoedingstarief</w:t>
      </w:r>
      <w:proofErr w:type="spellEnd"/>
      <w:r>
        <w:rPr>
          <w:szCs w:val="18"/>
        </w:rPr>
        <w:t xml:space="preserve"> en kan leiden tot een lager tenderbedrag en daarmee lagere subsidiekosten voor de overheid.</w:t>
      </w:r>
      <w:bookmarkEnd w:id="0"/>
    </w:p>
    <w:p w:rsidRPr="00D95B3A" w:rsidR="00CF7A2F" w:rsidP="00E44F71" w:rsidRDefault="00CF7A2F" w14:paraId="36BAED1E" w14:textId="77777777"/>
    <w:p w:rsidR="002C3023" w:rsidRDefault="002C3023" w14:paraId="3C2756F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FFC9" w14:textId="77777777" w:rsidR="00AF783C" w:rsidRDefault="00AF783C" w:rsidP="00CF7A2F">
      <w:pPr>
        <w:spacing w:after="0" w:line="240" w:lineRule="auto"/>
      </w:pPr>
      <w:r>
        <w:separator/>
      </w:r>
    </w:p>
  </w:endnote>
  <w:endnote w:type="continuationSeparator" w:id="0">
    <w:p w14:paraId="3DA10B25" w14:textId="77777777" w:rsidR="00AF783C" w:rsidRDefault="00AF783C" w:rsidP="00CF7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3C55" w14:textId="77777777" w:rsidR="00CF7A2F" w:rsidRPr="00CF7A2F" w:rsidRDefault="00CF7A2F" w:rsidP="00CF7A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25D5" w14:textId="77777777" w:rsidR="00CF7A2F" w:rsidRPr="00CF7A2F" w:rsidRDefault="00CF7A2F" w:rsidP="00CF7A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05DE" w14:textId="77777777" w:rsidR="00CF7A2F" w:rsidRPr="00CF7A2F" w:rsidRDefault="00CF7A2F" w:rsidP="00CF7A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3A89" w14:textId="77777777" w:rsidR="00AF783C" w:rsidRDefault="00AF783C" w:rsidP="00CF7A2F">
      <w:pPr>
        <w:spacing w:after="0" w:line="240" w:lineRule="auto"/>
      </w:pPr>
      <w:r>
        <w:separator/>
      </w:r>
    </w:p>
  </w:footnote>
  <w:footnote w:type="continuationSeparator" w:id="0">
    <w:p w14:paraId="1C543AC1" w14:textId="77777777" w:rsidR="00AF783C" w:rsidRDefault="00AF783C" w:rsidP="00CF7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8A3" w14:textId="77777777" w:rsidR="00CF7A2F" w:rsidRPr="00CF7A2F" w:rsidRDefault="00CF7A2F" w:rsidP="00CF7A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747C" w14:textId="77777777" w:rsidR="00CF7A2F" w:rsidRPr="00CF7A2F" w:rsidRDefault="00CF7A2F" w:rsidP="00CF7A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AB8D" w14:textId="77777777" w:rsidR="00CF7A2F" w:rsidRPr="00CF7A2F" w:rsidRDefault="00CF7A2F" w:rsidP="00CF7A2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2F"/>
    <w:rsid w:val="002C3023"/>
    <w:rsid w:val="00850879"/>
    <w:rsid w:val="00AF783C"/>
    <w:rsid w:val="00CF7A2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6FA7"/>
  <w15:chartTrackingRefBased/>
  <w15:docId w15:val="{66EB47AB-7AA5-4D97-A234-CD875BA7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7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7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7A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7A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7A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7A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7A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7A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7A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7A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7A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7A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7A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7A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7A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7A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7A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7A2F"/>
    <w:rPr>
      <w:rFonts w:eastAsiaTheme="majorEastAsia" w:cstheme="majorBidi"/>
      <w:color w:val="272727" w:themeColor="text1" w:themeTint="D8"/>
    </w:rPr>
  </w:style>
  <w:style w:type="paragraph" w:styleId="Titel">
    <w:name w:val="Title"/>
    <w:basedOn w:val="Standaard"/>
    <w:next w:val="Standaard"/>
    <w:link w:val="TitelChar"/>
    <w:uiPriority w:val="10"/>
    <w:qFormat/>
    <w:rsid w:val="00CF7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7A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7A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7A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7A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7A2F"/>
    <w:rPr>
      <w:i/>
      <w:iCs/>
      <w:color w:val="404040" w:themeColor="text1" w:themeTint="BF"/>
    </w:rPr>
  </w:style>
  <w:style w:type="paragraph" w:styleId="Lijstalinea">
    <w:name w:val="List Paragraph"/>
    <w:basedOn w:val="Standaard"/>
    <w:uiPriority w:val="34"/>
    <w:qFormat/>
    <w:rsid w:val="00CF7A2F"/>
    <w:pPr>
      <w:ind w:left="720"/>
      <w:contextualSpacing/>
    </w:pPr>
  </w:style>
  <w:style w:type="character" w:styleId="Intensievebenadrukking">
    <w:name w:val="Intense Emphasis"/>
    <w:basedOn w:val="Standaardalinea-lettertype"/>
    <w:uiPriority w:val="21"/>
    <w:qFormat/>
    <w:rsid w:val="00CF7A2F"/>
    <w:rPr>
      <w:i/>
      <w:iCs/>
      <w:color w:val="0F4761" w:themeColor="accent1" w:themeShade="BF"/>
    </w:rPr>
  </w:style>
  <w:style w:type="paragraph" w:styleId="Duidelijkcitaat">
    <w:name w:val="Intense Quote"/>
    <w:basedOn w:val="Standaard"/>
    <w:next w:val="Standaard"/>
    <w:link w:val="DuidelijkcitaatChar"/>
    <w:uiPriority w:val="30"/>
    <w:qFormat/>
    <w:rsid w:val="00CF7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7A2F"/>
    <w:rPr>
      <w:i/>
      <w:iCs/>
      <w:color w:val="0F4761" w:themeColor="accent1" w:themeShade="BF"/>
    </w:rPr>
  </w:style>
  <w:style w:type="character" w:styleId="Intensieveverwijzing">
    <w:name w:val="Intense Reference"/>
    <w:basedOn w:val="Standaardalinea-lettertype"/>
    <w:uiPriority w:val="32"/>
    <w:qFormat/>
    <w:rsid w:val="00CF7A2F"/>
    <w:rPr>
      <w:b/>
      <w:bCs/>
      <w:smallCaps/>
      <w:color w:val="0F4761" w:themeColor="accent1" w:themeShade="BF"/>
      <w:spacing w:val="5"/>
    </w:rPr>
  </w:style>
  <w:style w:type="paragraph" w:styleId="Koptekst">
    <w:name w:val="header"/>
    <w:basedOn w:val="Standaard"/>
    <w:link w:val="KoptekstChar"/>
    <w:uiPriority w:val="99"/>
    <w:unhideWhenUsed/>
    <w:rsid w:val="00CF7A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7A2F"/>
  </w:style>
  <w:style w:type="paragraph" w:styleId="Voettekst">
    <w:name w:val="footer"/>
    <w:basedOn w:val="Standaard"/>
    <w:link w:val="VoettekstChar"/>
    <w:uiPriority w:val="99"/>
    <w:unhideWhenUsed/>
    <w:rsid w:val="00CF7A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7A2F"/>
  </w:style>
  <w:style w:type="paragraph" w:styleId="Geenafstand">
    <w:name w:val="No Spacing"/>
    <w:uiPriority w:val="1"/>
    <w:qFormat/>
    <w:rsid w:val="00CF7A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1348</ap:Words>
  <ap:Characters>7416</ap:Characters>
  <ap:DocSecurity>0</ap:DocSecurity>
  <ap:Lines>61</ap:Lines>
  <ap:Paragraphs>17</ap:Paragraphs>
  <ap:ScaleCrop>false</ap:ScaleCrop>
  <ap:LinksUpToDate>false</ap:LinksUpToDate>
  <ap:CharactersWithSpaces>8747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2026-08-25T08:35:00.0000000Z</dcterms:created>
  <dcterms:modified xsi:type="dcterms:W3CDTF">2026-08-25T08:36:00.0000000Z</dcterms:modified>
  <version/>
  <category/>
</coreProperties>
</file>