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7B17" w:rsidP="00257B17" w:rsidRDefault="00257B17" w14:paraId="7997C971" w14:textId="6D0F8467">
      <w:pPr>
        <w:pStyle w:val="Geenafstand"/>
      </w:pPr>
      <w:r>
        <w:t>AH 2764</w:t>
      </w:r>
    </w:p>
    <w:p w:rsidR="00257B17" w:rsidP="00257B17" w:rsidRDefault="00257B17" w14:paraId="3D2E4CC0" w14:textId="2D7E4BFC">
      <w:pPr>
        <w:pStyle w:val="Geenafstand"/>
      </w:pPr>
      <w:r>
        <w:t>2026Z13646</w:t>
      </w:r>
    </w:p>
    <w:p w:rsidR="00257B17" w:rsidP="00257B17" w:rsidRDefault="00257B17" w14:paraId="774E27A7" w14:textId="77777777">
      <w:pPr>
        <w:pStyle w:val="Geenafstand"/>
      </w:pPr>
    </w:p>
    <w:p w:rsidRPr="00257B17" w:rsidR="00257B17" w:rsidP="00257B17" w:rsidRDefault="00257B17" w14:paraId="165D460A" w14:textId="051E17B5">
      <w:pPr>
        <w:rPr>
          <w:rFonts w:ascii="Arial" w:hAnsi="Arial" w:cs="Arial"/>
          <w:color w:val="000000"/>
          <w:sz w:val="24"/>
          <w:szCs w:val="24"/>
        </w:rPr>
      </w:pPr>
      <w:r w:rsidRPr="00D25B3E">
        <w:rPr>
          <w:sz w:val="24"/>
          <w:szCs w:val="24"/>
        </w:rPr>
        <w:t>Antwoord van minister Hermans (Volksgezondheid, Welzijn en Sport)</w:t>
      </w:r>
      <w:r>
        <w:rPr>
          <w:sz w:val="24"/>
          <w:szCs w:val="24"/>
        </w:rPr>
        <w:t xml:space="preserve">, mede namens de </w:t>
      </w:r>
      <w:r w:rsidRPr="007D78AD">
        <w:rPr>
          <w:rFonts w:ascii="Times New Roman" w:hAnsi="Times New Roman"/>
          <w:sz w:val="24"/>
        </w:rPr>
        <w:t>minister van Justitie en Veiligheid</w:t>
      </w:r>
      <w:r w:rsidRPr="00D25B3E">
        <w:rPr>
          <w:sz w:val="24"/>
          <w:szCs w:val="24"/>
        </w:rPr>
        <w:t xml:space="preserve"> (ontvangen</w:t>
      </w:r>
      <w:r>
        <w:rPr>
          <w:sz w:val="24"/>
          <w:szCs w:val="24"/>
        </w:rPr>
        <w:t xml:space="preserve"> 25 augustus 2026)</w:t>
      </w:r>
    </w:p>
    <w:p w:rsidRPr="00501BEB" w:rsidR="00257B17" w:rsidP="00257B17" w:rsidRDefault="00257B17" w14:paraId="669A3E92" w14:textId="77777777">
      <w:pPr>
        <w:suppressAutoHyphens/>
        <w:rPr>
          <w:szCs w:val="18"/>
        </w:rPr>
      </w:pPr>
    </w:p>
    <w:p w:rsidRPr="00501BEB" w:rsidR="00257B17" w:rsidP="00257B17" w:rsidRDefault="00257B17" w14:paraId="4F17FC6B"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Vraag 1</w:t>
      </w:r>
    </w:p>
    <w:p w:rsidRPr="00501BEB" w:rsidR="00257B17" w:rsidP="00257B17" w:rsidRDefault="00257B17" w14:paraId="663B8530" w14:textId="05974F3D">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 xml:space="preserve">Heeft u kennisgenomen van het bericht 'Van Marlboro naar marihuana: tabaksreus stapt in legale Nederlandse wiet'? </w:t>
      </w:r>
      <w:r>
        <w:rPr>
          <w:rFonts w:eastAsia="DejaVuSerifCondensed" w:cs="DejaVuSerifCondensed"/>
          <w:szCs w:val="18"/>
        </w:rPr>
        <w:t>1)</w:t>
      </w:r>
    </w:p>
    <w:p w:rsidRPr="00501BEB" w:rsidR="00257B17" w:rsidP="00257B17" w:rsidRDefault="00257B17" w14:paraId="147166FF"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5D88EEF8"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Antwoord 1</w:t>
      </w:r>
    </w:p>
    <w:p w:rsidRPr="00501BEB" w:rsidR="00257B17" w:rsidP="00257B17" w:rsidRDefault="00257B17" w14:paraId="694491FC"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Ja, wij hebben kennisgenomen van dit bericht.</w:t>
      </w:r>
    </w:p>
    <w:p w:rsidRPr="00501BEB" w:rsidR="00257B17" w:rsidP="00257B17" w:rsidRDefault="00257B17" w14:paraId="06A14DFC"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7539836D"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Vraag 2</w:t>
      </w:r>
    </w:p>
    <w:p w:rsidRPr="00501BEB" w:rsidR="00257B17" w:rsidP="00257B17" w:rsidRDefault="00257B17" w14:paraId="3A73E65B"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Gaat u ingrijpen of is dit een ‘markteffect’ dat u niet kunt veranderen?</w:t>
      </w:r>
    </w:p>
    <w:p w:rsidRPr="00501BEB" w:rsidR="00257B17" w:rsidP="00257B17" w:rsidRDefault="00257B17" w14:paraId="0B591158" w14:textId="77777777">
      <w:pPr>
        <w:suppressAutoHyphens/>
        <w:autoSpaceDE w:val="0"/>
        <w:autoSpaceDN w:val="0"/>
        <w:adjustRightInd w:val="0"/>
        <w:spacing w:line="240" w:lineRule="auto"/>
        <w:rPr>
          <w:rFonts w:eastAsia="DejaVuSerifCondensed" w:cs="DejaVuSerifCondensed"/>
          <w:color w:val="000000"/>
          <w:szCs w:val="18"/>
        </w:rPr>
      </w:pPr>
      <w:bookmarkStart w:name="_Hlk234327197" w:id="0"/>
      <w:bookmarkStart w:name="_Hlk234398487" w:id="1"/>
    </w:p>
    <w:p w:rsidRPr="00501BEB" w:rsidR="00257B17" w:rsidP="00257B17" w:rsidRDefault="00257B17" w14:paraId="72FB201A" w14:textId="77777777">
      <w:pPr>
        <w:suppressAutoHyphens/>
        <w:autoSpaceDE w:val="0"/>
        <w:autoSpaceDN w:val="0"/>
        <w:adjustRightInd w:val="0"/>
        <w:spacing w:line="240" w:lineRule="auto"/>
        <w:rPr>
          <w:rFonts w:eastAsia="DejaVuSerifCondensed" w:cs="DejaVuSerifCondensed"/>
          <w:color w:val="000000"/>
          <w:szCs w:val="18"/>
        </w:rPr>
      </w:pPr>
      <w:r w:rsidRPr="00501BEB">
        <w:rPr>
          <w:rFonts w:eastAsia="DejaVuSerifCondensed" w:cs="DejaVuSerifCondensed"/>
          <w:color w:val="000000"/>
          <w:szCs w:val="18"/>
        </w:rPr>
        <w:t>Antwoord 2</w:t>
      </w:r>
    </w:p>
    <w:p w:rsidRPr="00501BEB" w:rsidR="00257B17" w:rsidP="00257B17" w:rsidRDefault="00257B17" w14:paraId="270B7C0F" w14:textId="77777777">
      <w:pPr>
        <w:suppressAutoHyphens/>
        <w:autoSpaceDE w:val="0"/>
        <w:autoSpaceDN w:val="0"/>
        <w:adjustRightInd w:val="0"/>
        <w:spacing w:line="240" w:lineRule="auto"/>
        <w:rPr>
          <w:rFonts w:eastAsia="DejaVuSerifCondensed" w:cs="DejaVuSerifCondensed"/>
          <w:color w:val="000000"/>
          <w:szCs w:val="18"/>
        </w:rPr>
      </w:pPr>
      <w:r w:rsidRPr="00501BEB">
        <w:rPr>
          <w:rFonts w:eastAsia="DejaVuSerifCondensed" w:cs="DejaVuSerifCondensed"/>
          <w:color w:val="000000"/>
          <w:szCs w:val="18"/>
        </w:rPr>
        <w:t xml:space="preserve">In het bericht wordt aangegeven dat een onderneming uit de tabaksindustrie indirect eigenaar zou worden van een teeltbedrijf dat deelneemt aan het Experiment gesloten coffeeshopketen (hierna: wietexperiment). </w:t>
      </w:r>
    </w:p>
    <w:p w:rsidRPr="00501BEB" w:rsidR="00257B17" w:rsidP="00257B17" w:rsidRDefault="00257B17" w14:paraId="7EA3139A" w14:textId="77777777">
      <w:pPr>
        <w:suppressAutoHyphens/>
        <w:autoSpaceDE w:val="0"/>
        <w:autoSpaceDN w:val="0"/>
        <w:adjustRightInd w:val="0"/>
        <w:spacing w:line="240" w:lineRule="auto"/>
        <w:rPr>
          <w:rFonts w:eastAsia="DejaVuSerifCondensed" w:cs="DejaVuSerifCondensed"/>
          <w:color w:val="000000"/>
          <w:szCs w:val="18"/>
        </w:rPr>
      </w:pPr>
    </w:p>
    <w:p w:rsidRPr="00501BEB" w:rsidR="00257B17" w:rsidP="00257B17" w:rsidRDefault="00257B17" w14:paraId="5133F813" w14:textId="77777777">
      <w:pPr>
        <w:suppressAutoHyphens/>
        <w:autoSpaceDE w:val="0"/>
        <w:autoSpaceDN w:val="0"/>
        <w:adjustRightInd w:val="0"/>
        <w:spacing w:line="240" w:lineRule="auto"/>
        <w:rPr>
          <w:rFonts w:eastAsia="DejaVuSerifCondensed" w:cs="DejaVuSerifCondensed"/>
          <w:color w:val="000000"/>
          <w:szCs w:val="18"/>
        </w:rPr>
      </w:pPr>
      <w:bookmarkStart w:name="_Hlk236143468" w:id="2"/>
      <w:r w:rsidRPr="00501BEB">
        <w:rPr>
          <w:rFonts w:eastAsia="DejaVuSerifCondensed" w:cs="DejaVuSerifCondensed"/>
          <w:color w:val="000000"/>
          <w:szCs w:val="18"/>
        </w:rPr>
        <w:t>Over ontwikkelingen bij individuele deelnemers aan het wietexperiment kan het kabinet geen uitspraken doen. Wel kan in het algemeen het volgende worden aangegeven.</w:t>
      </w:r>
    </w:p>
    <w:p w:rsidRPr="00501BEB" w:rsidR="00257B17" w:rsidP="00257B17" w:rsidRDefault="00257B17" w14:paraId="51C0D7EE" w14:textId="77777777">
      <w:pPr>
        <w:suppressAutoHyphens/>
        <w:autoSpaceDE w:val="0"/>
        <w:autoSpaceDN w:val="0"/>
        <w:adjustRightInd w:val="0"/>
        <w:spacing w:line="240" w:lineRule="auto"/>
        <w:rPr>
          <w:rFonts w:eastAsia="DejaVuSerifCondensed" w:cs="DejaVuSerifCondensed"/>
          <w:color w:val="000000"/>
          <w:szCs w:val="18"/>
        </w:rPr>
      </w:pPr>
      <w:r w:rsidRPr="00501BEB">
        <w:rPr>
          <w:rFonts w:eastAsia="DejaVuSerifCondensed" w:cs="DejaVuSerifCondensed"/>
          <w:color w:val="000000"/>
          <w:szCs w:val="18"/>
        </w:rPr>
        <w:t xml:space="preserve"> </w:t>
      </w:r>
    </w:p>
    <w:p w:rsidRPr="00501BEB" w:rsidR="00257B17" w:rsidP="00257B17" w:rsidRDefault="00257B17" w14:paraId="6E2895EE"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color w:val="000000"/>
          <w:szCs w:val="18"/>
        </w:rPr>
        <w:t>Het experiment is vormgegeven binnen een wettelijk kader</w:t>
      </w:r>
      <w:r w:rsidRPr="00501BEB">
        <w:rPr>
          <w:rStyle w:val="Voetnootmarkering"/>
          <w:rFonts w:eastAsia="DejaVuSerifCondensed" w:cs="DejaVuSerifCondensed"/>
          <w:color w:val="000000"/>
          <w:szCs w:val="18"/>
        </w:rPr>
        <w:footnoteReference w:id="1"/>
      </w:r>
      <w:r w:rsidRPr="00501BEB">
        <w:rPr>
          <w:rFonts w:eastAsia="DejaVuSerifCondensed" w:cs="DejaVuSerifCondensed"/>
          <w:color w:val="000000"/>
          <w:szCs w:val="18"/>
        </w:rPr>
        <w:t xml:space="preserve"> waarin is vastgelegd aan welke eisen aangewezen telers moeten voldoen. Omstandigheden die voor de aanwijzing of instandhouding daarvan van belang kunnen zijn, worden beoordeeld op grond van het wettelijk kader. Ten aanzien van de aandeelhoudersstructuur geldt in algemene zin dat aangewezen telers </w:t>
      </w:r>
      <w:r w:rsidRPr="00501BEB">
        <w:rPr>
          <w:rFonts w:eastAsia="DejaVuSerifCondensed" w:cs="DejaVuSerifCondensed"/>
          <w:szCs w:val="18"/>
        </w:rPr>
        <w:t xml:space="preserve">– net zoals </w:t>
      </w:r>
      <w:r w:rsidRPr="00501BEB">
        <w:rPr>
          <w:rFonts w:eastAsia="DejaVuSerifCondensed" w:cs="DejaVuSerifCondensed"/>
          <w:color w:val="000000"/>
          <w:szCs w:val="18"/>
        </w:rPr>
        <w:t xml:space="preserve">alle ondernemingen in Nederland – zelf de verantwoordelijkheid hebben voor de inrichting van hun bedrijf. Het wettelijk kader </w:t>
      </w:r>
      <w:r w:rsidRPr="00501BEB">
        <w:rPr>
          <w:rFonts w:eastAsia="DejaVuSerifCondensed" w:cs="DejaVuSerifCondensed"/>
          <w:szCs w:val="18"/>
        </w:rPr>
        <w:t>bevat geen bepaling die deelname uitsluit op basis van de achtergrond van aandeelhouders. Het kabinet kan eigendomsoverdrachten dus niet blokkeren. Wel</w:t>
      </w:r>
      <w:r w:rsidRPr="00501BEB">
        <w:rPr>
          <w:rFonts w:eastAsia="DejaVuSerifCondensed" w:cs="DejaVuSerifCondensed"/>
          <w:color w:val="000000"/>
          <w:szCs w:val="18"/>
        </w:rPr>
        <w:t xml:space="preserve"> kan, indien daartoe aanleiding bestaat en de voorwaarden daarvoor zijn vervuld, een toets op grond van de Wet bevordering integriteitsbeoordelingen door het openbaar bestuur (hierna: Wet Bibob) worden uitgevoerd. </w:t>
      </w:r>
      <w:r w:rsidRPr="00501BEB">
        <w:rPr>
          <w:rFonts w:eastAsia="DejaVuSerifCondensed" w:cs="DejaVuSerifCondensed"/>
          <w:szCs w:val="18"/>
        </w:rPr>
        <w:t xml:space="preserve">Een wijziging in de aandeelhoudersstructuur kan aanleiding zijn voor een onderzoek op grond van de </w:t>
      </w:r>
      <w:r w:rsidRPr="00501BEB">
        <w:rPr>
          <w:rFonts w:eastAsia="DejaVuSerifCondensed" w:cs="DejaVuSerifCondensed"/>
          <w:color w:val="000000"/>
          <w:szCs w:val="18"/>
        </w:rPr>
        <w:t xml:space="preserve">Wet Bibob. </w:t>
      </w:r>
      <w:r w:rsidRPr="00501BEB">
        <w:rPr>
          <w:rFonts w:eastAsia="DejaVuSerifCondensed" w:cs="DejaVuSerifCondensed"/>
          <w:szCs w:val="18"/>
        </w:rPr>
        <w:t>Bovendien worden alle aangewezen telers elke twee à drie jaar getoetst middels een Bibob-onderzoek, conform de motie van de leden Michon-Derkzen en Bikker.</w:t>
      </w:r>
      <w:r w:rsidRPr="00501BEB">
        <w:rPr>
          <w:rStyle w:val="Voetnootmarkering"/>
          <w:rFonts w:eastAsia="DejaVuSerifCondensed" w:cs="DejaVuSerifCondensed"/>
          <w:szCs w:val="18"/>
        </w:rPr>
        <w:footnoteReference w:id="2"/>
      </w:r>
      <w:r w:rsidRPr="00501BEB">
        <w:rPr>
          <w:rFonts w:eastAsia="DejaVuSerifCondensed" w:cs="DejaVuSerifCondensed"/>
          <w:szCs w:val="18"/>
        </w:rPr>
        <w:t xml:space="preserve"> </w:t>
      </w:r>
      <w:r w:rsidRPr="00501BEB">
        <w:rPr>
          <w:rFonts w:eastAsia="DejaVuSerifCondensed" w:cs="DejaVuSerifCondensed"/>
          <w:color w:val="000000"/>
          <w:szCs w:val="18"/>
        </w:rPr>
        <w:t xml:space="preserve">Afhankelijk van de uitkomsten van het onderzoek wordt beoordeeld welke </w:t>
      </w:r>
      <w:r w:rsidRPr="00501BEB">
        <w:rPr>
          <w:rFonts w:eastAsia="DejaVuSerifCondensed" w:cs="DejaVuSerifCondensed"/>
          <w:color w:val="000000"/>
          <w:szCs w:val="18"/>
        </w:rPr>
        <w:lastRenderedPageBreak/>
        <w:t>gevolgen daaraan verbonden worden. Een uiterste consequentie is het intrekken van de aanwijzing.</w:t>
      </w:r>
    </w:p>
    <w:bookmarkEnd w:id="0"/>
    <w:bookmarkEnd w:id="1"/>
    <w:bookmarkEnd w:id="2"/>
    <w:p w:rsidRPr="00501BEB" w:rsidR="00257B17" w:rsidP="00257B17" w:rsidRDefault="00257B17" w14:paraId="260CCED0"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5466C512"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Vraag 3</w:t>
      </w:r>
    </w:p>
    <w:p w:rsidRPr="00501BEB" w:rsidR="00257B17" w:rsidP="00257B17" w:rsidRDefault="00257B17" w14:paraId="05A336A2"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Hoe kijkt u naar het feit dat een internationale tabaksgigant, die decennialang heeft verdiend aan nicotineverslaving, betrokken is geraakt bij één van de grootste telers binnen het Nederlandse cannabisexperiment?</w:t>
      </w:r>
    </w:p>
    <w:p w:rsidRPr="00501BEB" w:rsidR="00257B17" w:rsidP="00257B17" w:rsidRDefault="00257B17" w14:paraId="61739853"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2AA7A030" w14:textId="77777777">
      <w:pPr>
        <w:suppressAutoHyphens/>
        <w:autoSpaceDE w:val="0"/>
        <w:autoSpaceDN w:val="0"/>
        <w:adjustRightInd w:val="0"/>
        <w:spacing w:line="240" w:lineRule="auto"/>
        <w:rPr>
          <w:rFonts w:eastAsia="DejaVuSerifCondensed" w:cs="DejaVuSerifCondensed"/>
          <w:szCs w:val="18"/>
        </w:rPr>
      </w:pPr>
      <w:bookmarkStart w:name="_Hlk235521562" w:id="3"/>
      <w:r w:rsidRPr="00501BEB">
        <w:rPr>
          <w:rFonts w:eastAsia="DejaVuSerifCondensed" w:cs="DejaVuSerifCondensed"/>
          <w:szCs w:val="18"/>
        </w:rPr>
        <w:t>Antwoord 3</w:t>
      </w:r>
    </w:p>
    <w:p w:rsidR="00257B17" w:rsidP="00257B17" w:rsidRDefault="00257B17" w14:paraId="5E6C8DF3"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 xml:space="preserve">Het kabinet snapt de zorgen die hierover leven. De tabaksindustrie draagt niet bij aan de volksgezondheid met de verkoop van verslavende producten als tabak, sigaretten en vapes. Bovendien kenmerkt deze industrie zich door marketing- en lobbyactiviteiten die schadelijk zijn gebleken voor de volksgezondheid. Het wettelijk kader bevat generieke eisen voor alle deelnemende telers, onder andere vanuit het oogpunt van preventie. </w:t>
      </w:r>
    </w:p>
    <w:p w:rsidRPr="00501BEB" w:rsidR="00257B17" w:rsidP="00257B17" w:rsidRDefault="00257B17" w14:paraId="09ACD53F" w14:textId="75411FC4">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Hieronder vallen een volledig reclameverbod, verpakkings- en etiketteringseisen en verplichte kwaliteitstesten door laboratoria. Daarnaast is ieder cannabisproduct voorzien van een bijsluiter met informatie over de effecten en risico’s van cannabisgebruik, inclusief adviezen om de risico’s van het gebruik van cannabis te beperken. Voor coffeeshops in de deelnemende gemeenten geldt bovendien de verplichting om hun personeel te scholen in het geven van voorlichting over cannabisgebruik en de daaraan verbonden risico’s en om bezoekers te verwijzen bij problematisch gebruik. Deze coffeeshops dienen ook voorlichtingsmateriaal over cannabisgebruik en de bijbehorende risico’s van gebruik beschikbaar te hebben. De Inspectie Justitie &amp; Veiligheid, de Nederlandse Voedsel- en Warenautoriteit en de deelnemende experimentgemeenten houden toezicht op de naleving van de eisen door de telers en de coffeeshops.</w:t>
      </w:r>
    </w:p>
    <w:bookmarkEnd w:id="3"/>
    <w:p w:rsidRPr="00501BEB" w:rsidR="00257B17" w:rsidP="00257B17" w:rsidRDefault="00257B17" w14:paraId="467D7747"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5655AAC5"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Vraag 4</w:t>
      </w:r>
    </w:p>
    <w:p w:rsidRPr="00501BEB" w:rsidR="00257B17" w:rsidP="00257B17" w:rsidRDefault="00257B17" w14:paraId="2F852873"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In de afgelopen jaren hebben de commerciële strategieën van de tabaksindustrie jarenlang ernstige schade toegebracht aan de volksgezondheid door nieuwe gebruikers aan zich te binden, is dat voor u een doel bij het wietexperiment?</w:t>
      </w:r>
    </w:p>
    <w:p w:rsidRPr="00501BEB" w:rsidR="00257B17" w:rsidP="00257B17" w:rsidRDefault="00257B17" w14:paraId="226D984C"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61787140"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Antwoord 4</w:t>
      </w:r>
    </w:p>
    <w:p w:rsidRPr="00501BEB" w:rsidR="00257B17" w:rsidP="00257B17" w:rsidRDefault="00257B17" w14:paraId="649D95B1"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Nee, het aantrekken van nieuwe gebruikers behoort uitdrukkelijk niet tot de doelstellingen van het experiment. Het wietexperiment heeft tot doel te onderzoeken of een gereguleerde en op kwaliteit gecontroleerde productie en distributie van cannabis mogelijk is en welke effecten dit heeft op volksgezondheid, criminaliteit en veiligheid. Het wietexperiment is ook gestart om gehoor te geven aan de problemen die burgemeesters ervaren met het huidige gedoogbeleid.</w:t>
      </w:r>
      <w:r w:rsidRPr="00501BEB" w:rsidDel="0040229A">
        <w:rPr>
          <w:rFonts w:eastAsia="DejaVuSerifCondensed" w:cs="DejaVuSerifCondensed"/>
          <w:szCs w:val="18"/>
        </w:rPr>
        <w:t xml:space="preserve"> </w:t>
      </w:r>
    </w:p>
    <w:p w:rsidRPr="00501BEB" w:rsidR="00257B17" w:rsidP="00257B17" w:rsidRDefault="00257B17" w14:paraId="0C84814B"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5260D37E"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Vraag 5</w:t>
      </w:r>
    </w:p>
    <w:p w:rsidRPr="00501BEB" w:rsidR="00257B17" w:rsidP="00257B17" w:rsidRDefault="00257B17" w14:paraId="679E59EB"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 xml:space="preserve">Bestaan er momenteel specifieke waarborgen binnen het wietexperiment om te voorkomen dat partijen met een achtergrond in de tabaksindustrie invloed uitoefenen op productie, marketing, </w:t>
      </w:r>
      <w:r w:rsidRPr="00501BEB">
        <w:rPr>
          <w:rFonts w:eastAsia="DejaVuSerifCondensed" w:cs="DejaVuSerifCondensed"/>
          <w:szCs w:val="18"/>
        </w:rPr>
        <w:lastRenderedPageBreak/>
        <w:t>prijsstelling of productontwikkeling? Zo ja, welke zijn dat en acht u deze voldoende? Zo nee, waarom niet?</w:t>
      </w:r>
    </w:p>
    <w:p w:rsidRPr="00501BEB" w:rsidR="00257B17" w:rsidP="00257B17" w:rsidRDefault="00257B17" w14:paraId="40EC81B6"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4C38E7D3" w14:textId="77777777">
      <w:pPr>
        <w:suppressAutoHyphens/>
        <w:autoSpaceDE w:val="0"/>
        <w:autoSpaceDN w:val="0"/>
        <w:adjustRightInd w:val="0"/>
        <w:spacing w:line="240" w:lineRule="auto"/>
        <w:rPr>
          <w:rFonts w:eastAsia="DejaVuSerifCondensed" w:cs="DejaVuSerifCondensed"/>
          <w:szCs w:val="18"/>
        </w:rPr>
      </w:pPr>
      <w:bookmarkStart w:name="_Hlk234323990" w:id="4"/>
      <w:r w:rsidRPr="00501BEB">
        <w:rPr>
          <w:rFonts w:eastAsia="DejaVuSerifCondensed" w:cs="DejaVuSerifCondensed"/>
          <w:szCs w:val="18"/>
        </w:rPr>
        <w:t>Antwoord 5</w:t>
      </w:r>
    </w:p>
    <w:p w:rsidRPr="00501BEB" w:rsidR="00257B17" w:rsidP="00257B17" w:rsidRDefault="00257B17" w14:paraId="3E227925" w14:textId="77777777">
      <w:pPr>
        <w:suppressAutoHyphens/>
        <w:autoSpaceDE w:val="0"/>
        <w:autoSpaceDN w:val="0"/>
        <w:adjustRightInd w:val="0"/>
        <w:spacing w:line="240" w:lineRule="auto"/>
        <w:rPr>
          <w:rFonts w:eastAsia="DejaVuSerifCondensed" w:cs="DejaVuSerifCondensed"/>
          <w:color w:val="000000"/>
          <w:szCs w:val="18"/>
        </w:rPr>
      </w:pPr>
      <w:r w:rsidRPr="00501BEB">
        <w:rPr>
          <w:rFonts w:eastAsia="DejaVuSerifCondensed" w:cs="DejaVuSerifCondensed"/>
          <w:szCs w:val="18"/>
        </w:rPr>
        <w:t xml:space="preserve">De Wet experiment gesloten coffeeshopketen bevat geen bepaling die deelname uitsluit op basis van de achtergrond van aandeelhouders. </w:t>
      </w:r>
      <w:bookmarkStart w:name="_Hlk235803017" w:id="5"/>
      <w:r w:rsidRPr="00501BEB">
        <w:rPr>
          <w:rFonts w:eastAsia="DejaVuSerifCondensed" w:cs="DejaVuSerifCondensed"/>
          <w:szCs w:val="18"/>
        </w:rPr>
        <w:t xml:space="preserve">Binnen de geldende wet- en regelgeving zijn wel generieke eisen opgenomen voor alle deelnemende telers, zoals onder antwoord 3 toegelicht. </w:t>
      </w:r>
    </w:p>
    <w:bookmarkEnd w:id="4"/>
    <w:bookmarkEnd w:id="5"/>
    <w:p w:rsidRPr="00501BEB" w:rsidR="00257B17" w:rsidP="00257B17" w:rsidRDefault="00257B17" w14:paraId="4B8E6512"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30C83B35"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Vraag 6</w:t>
      </w:r>
    </w:p>
    <w:p w:rsidRPr="00501BEB" w:rsidR="00257B17" w:rsidP="00257B17" w:rsidRDefault="00257B17" w14:paraId="0C9427AA"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Wilt u normalisering van wietgebruik? Zo ja, waarom? Zo nee, waarom staat u dan toe dat een commerciële partij met een negatieve voorgeschiedenis daar wel aan bij gaat dragen?</w:t>
      </w:r>
    </w:p>
    <w:p w:rsidRPr="00501BEB" w:rsidR="00257B17" w:rsidP="00257B17" w:rsidRDefault="00257B17" w14:paraId="2AC25C35"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7D58209C"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Antwoord 6</w:t>
      </w:r>
    </w:p>
    <w:p w:rsidR="00257B17" w:rsidP="00257B17" w:rsidRDefault="00257B17" w14:paraId="3078B743" w14:textId="77777777">
      <w:pPr>
        <w:suppressAutoHyphens/>
        <w:autoSpaceDE w:val="0"/>
        <w:autoSpaceDN w:val="0"/>
        <w:adjustRightInd w:val="0"/>
        <w:spacing w:line="240" w:lineRule="auto"/>
        <w:rPr>
          <w:rFonts w:eastAsia="DejaVuSerifCondensed" w:cs="DejaVuSerifCondensed"/>
          <w:color w:val="000000"/>
          <w:szCs w:val="18"/>
        </w:rPr>
      </w:pPr>
      <w:r w:rsidRPr="00501BEB">
        <w:rPr>
          <w:rFonts w:eastAsia="DejaVuSerifCondensed" w:cs="DejaVuSerifCondensed"/>
          <w:szCs w:val="18"/>
        </w:rPr>
        <w:t xml:space="preserve">Normalisering van cannabisgebruik vindt het kabinet onwenselijk. Het Nederlandse drugsbeleid is daarom gericht op het voorkomen van drugsgebruik, daaronder valt ook het gebruik van cannabis. Het gebruik van drugs is namelijk nooit zonder risico’s. Tegelijkertijd is het wietexperiment gestart om gehoor te geven aan de problemen die burgemeesters ervaren met het huidige gedoogbeleid. </w:t>
      </w:r>
      <w:bookmarkStart w:name="_Hlk235800782" w:id="6"/>
      <w:r w:rsidRPr="00501BEB">
        <w:rPr>
          <w:rFonts w:eastAsia="DejaVuSerifCondensed" w:cs="DejaVuSerifCondensed"/>
          <w:szCs w:val="18"/>
        </w:rPr>
        <w:t xml:space="preserve">Het kabinet vindt het daarom belangrijk om te onderzoeken wat de effecten zijn van een gereguleerde cannabisketen op volksgezondheid, criminaliteit en veiligheid. Dat helpt bij het besluit over het vervolg van het cannabisbeleid. </w:t>
      </w:r>
      <w:r w:rsidRPr="00501BEB">
        <w:rPr>
          <w:rFonts w:eastAsia="DejaVuSerifCondensed" w:cs="DejaVuSerifCondensed"/>
          <w:color w:val="000000"/>
          <w:szCs w:val="18"/>
        </w:rPr>
        <w:t xml:space="preserve">Ten aanzien van de aandeelhoudersstructuur geldt in algemene zin dat aangewezen telers </w:t>
      </w:r>
      <w:r w:rsidRPr="00501BEB">
        <w:rPr>
          <w:rFonts w:eastAsia="DejaVuSerifCondensed" w:cs="DejaVuSerifCondensed"/>
          <w:szCs w:val="18"/>
        </w:rPr>
        <w:t xml:space="preserve">– net zoals </w:t>
      </w:r>
      <w:r w:rsidRPr="00501BEB">
        <w:rPr>
          <w:rFonts w:eastAsia="DejaVuSerifCondensed" w:cs="DejaVuSerifCondensed"/>
          <w:color w:val="000000"/>
          <w:szCs w:val="18"/>
        </w:rPr>
        <w:t xml:space="preserve">alle ondernemingen in Nederland – zelf de verantwoordelijkheid hebben voor de inrichting van hun bedrijf. </w:t>
      </w:r>
    </w:p>
    <w:p w:rsidRPr="00257B17" w:rsidR="00257B17" w:rsidP="00257B17" w:rsidRDefault="00257B17" w14:paraId="39286FAB" w14:textId="6884247D">
      <w:pPr>
        <w:suppressAutoHyphens/>
        <w:autoSpaceDE w:val="0"/>
        <w:autoSpaceDN w:val="0"/>
        <w:adjustRightInd w:val="0"/>
        <w:spacing w:line="240" w:lineRule="auto"/>
        <w:rPr>
          <w:rFonts w:eastAsia="DejaVuSerifCondensed" w:cs="DejaVuSerifCondensed"/>
          <w:color w:val="000000"/>
          <w:szCs w:val="18"/>
        </w:rPr>
      </w:pPr>
      <w:r w:rsidRPr="00501BEB">
        <w:rPr>
          <w:rFonts w:eastAsia="DejaVuSerifCondensed" w:cs="DejaVuSerifCondensed"/>
          <w:color w:val="000000"/>
          <w:szCs w:val="18"/>
        </w:rPr>
        <w:t xml:space="preserve">Het wettelijk kader </w:t>
      </w:r>
      <w:r w:rsidRPr="00501BEB">
        <w:rPr>
          <w:rFonts w:eastAsia="DejaVuSerifCondensed" w:cs="DejaVuSerifCondensed"/>
          <w:szCs w:val="18"/>
        </w:rPr>
        <w:t xml:space="preserve">bevat geen bepaling die deelname uitsluit op basis van de achtergrond van aandeelhouders. Het kabinet kan eigendomsoverdrachten dus niet blokkeren. Binnen de geldende wet- en regelgeving zijn wel generieke eisen opgenomen voor alle deelnemende telers, zoals onder antwoord 2 en 3 toegelicht. </w:t>
      </w:r>
    </w:p>
    <w:bookmarkEnd w:id="6"/>
    <w:p w:rsidRPr="00501BEB" w:rsidR="00257B17" w:rsidP="00257B17" w:rsidRDefault="00257B17" w14:paraId="5F50D1FB"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3A946260"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Vraag 7</w:t>
      </w:r>
    </w:p>
    <w:p w:rsidRPr="00501BEB" w:rsidR="00257B17" w:rsidP="00257B17" w:rsidRDefault="00257B17" w14:paraId="698ECEB2" w14:textId="32170491">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 xml:space="preserve">Vindt u het verantwoord dat bedrijven uit een industrie waarvan uit recent onderzoek blijkt dat jeugdverslaving geen onbedoeld neveneffect, maar een expliciet onderdeel van het verdienmodel is, mogen deelnemen aan een experiment waarbij volksgezondheid expliciet een van de toetsingscriteria is? Zo ja, hoe rechtvaardigt u dit? </w:t>
      </w:r>
      <w:r>
        <w:rPr>
          <w:rFonts w:eastAsia="DejaVuSerifCondensed" w:cs="DejaVuSerifCondensed"/>
          <w:szCs w:val="18"/>
        </w:rPr>
        <w:t>2)</w:t>
      </w:r>
    </w:p>
    <w:p w:rsidRPr="00501BEB" w:rsidR="00257B17" w:rsidP="00257B17" w:rsidRDefault="00257B17" w14:paraId="269C69FE"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599AFB41"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Antwoord 7</w:t>
      </w:r>
    </w:p>
    <w:p w:rsidRPr="00501BEB" w:rsidR="00257B17" w:rsidP="00257B17" w:rsidRDefault="00257B17" w14:paraId="29A5DF7B"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 xml:space="preserve">Het onderzoek waaraan u refereert bevestigt de ernstige zorgen over de werkwijze van de tabaks- en nicotine-industrie ten aanzien van jeugdigen. Het kabinet neemt die zorgen serieus. </w:t>
      </w:r>
      <w:r w:rsidRPr="00501BEB">
        <w:rPr>
          <w:rFonts w:eastAsia="DejaVuSerifCondensed" w:cs="DejaVuSerifCondensed"/>
          <w:color w:val="000000"/>
          <w:szCs w:val="18"/>
        </w:rPr>
        <w:t xml:space="preserve">Bij de opzet van het experiment is ervoor gekozen dat elke legale commerciële partij </w:t>
      </w:r>
      <w:bookmarkStart w:name="_Hlk235521453" w:id="7"/>
      <w:r w:rsidRPr="00501BEB">
        <w:rPr>
          <w:rFonts w:eastAsia="DejaVuSerifCondensed" w:cs="DejaVuSerifCondensed"/>
          <w:color w:val="000000"/>
          <w:szCs w:val="18"/>
        </w:rPr>
        <w:t>die voldoet aan de gestelde eisen en criteria</w:t>
      </w:r>
      <w:bookmarkEnd w:id="7"/>
      <w:r w:rsidRPr="00501BEB">
        <w:rPr>
          <w:rFonts w:eastAsia="DejaVuSerifCondensed" w:cs="DejaVuSerifCondensed"/>
          <w:color w:val="000000"/>
          <w:szCs w:val="18"/>
        </w:rPr>
        <w:t xml:space="preserve">, in aanmerking kan komen voor een aanwijzing als teler. </w:t>
      </w:r>
      <w:r w:rsidRPr="00501BEB">
        <w:rPr>
          <w:rFonts w:eastAsia="DejaVuSerifCondensed" w:cs="DejaVuSerifCondensed"/>
          <w:szCs w:val="18"/>
        </w:rPr>
        <w:t xml:space="preserve">Om negatieve effecten vanwege commerciële belangen zoveel mogelijk te voorkomen, </w:t>
      </w:r>
      <w:bookmarkStart w:name="_Hlk235803169" w:id="8"/>
      <w:r w:rsidRPr="00501BEB">
        <w:rPr>
          <w:rFonts w:eastAsia="DejaVuSerifCondensed" w:cs="DejaVuSerifCondensed"/>
          <w:szCs w:val="18"/>
        </w:rPr>
        <w:t xml:space="preserve">zijn binnen het wietexperiment verschillende waarborgen en preventiemaatregelen getroffen, zoals toegelicht in de beantwoording van vraag 3. </w:t>
      </w:r>
      <w:bookmarkStart w:name="_Hlk236149241" w:id="9"/>
      <w:r w:rsidRPr="00501BEB">
        <w:rPr>
          <w:rFonts w:eastAsia="DejaVuSerifCondensed" w:cs="DejaVuSerifCondensed"/>
          <w:color w:val="000000"/>
          <w:szCs w:val="18"/>
        </w:rPr>
        <w:t xml:space="preserve">Het kabinet is van mening dat de huidige kennis over en ervaring </w:t>
      </w:r>
      <w:r w:rsidRPr="00501BEB">
        <w:rPr>
          <w:rFonts w:eastAsia="DejaVuSerifCondensed" w:cs="DejaVuSerifCondensed"/>
          <w:color w:val="000000"/>
          <w:szCs w:val="18"/>
        </w:rPr>
        <w:lastRenderedPageBreak/>
        <w:t>met de tabaksindustrie zal moeten worden betrokken bij het vormgeven van het toekomstige cannabisbeleid</w:t>
      </w:r>
      <w:bookmarkEnd w:id="9"/>
      <w:r w:rsidRPr="00501BEB">
        <w:rPr>
          <w:rFonts w:eastAsia="DejaVuSerifCondensed" w:cs="DejaVuSerifCondensed"/>
          <w:szCs w:val="18"/>
        </w:rPr>
        <w:t>.</w:t>
      </w:r>
    </w:p>
    <w:bookmarkEnd w:id="8"/>
    <w:p w:rsidRPr="00501BEB" w:rsidR="00257B17" w:rsidP="00257B17" w:rsidRDefault="00257B17" w14:paraId="5B7B369E"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20EB2970"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Vraag 8</w:t>
      </w:r>
    </w:p>
    <w:p w:rsidRPr="00501BEB" w:rsidR="00257B17" w:rsidP="00257B17" w:rsidRDefault="00257B17" w14:paraId="78A15F96"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Ziet u naast juridische-, gezondheids- en veiligheidsoverwegingen ook morele overwegingen bij het in stand houden van een wietexperiment? Zo ja, hoe verhouden die zich tot deze ontwikkeling?</w:t>
      </w:r>
    </w:p>
    <w:p w:rsidRPr="00501BEB" w:rsidR="00257B17" w:rsidP="00257B17" w:rsidRDefault="00257B17" w14:paraId="61DCFCA5"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75D52938" w14:textId="77777777">
      <w:pPr>
        <w:suppressAutoHyphens/>
        <w:autoSpaceDE w:val="0"/>
        <w:autoSpaceDN w:val="0"/>
        <w:adjustRightInd w:val="0"/>
        <w:spacing w:line="240" w:lineRule="auto"/>
        <w:rPr>
          <w:rFonts w:eastAsia="DejaVuSerifCondensed" w:cs="DejaVuSerifCondensed"/>
          <w:szCs w:val="18"/>
        </w:rPr>
      </w:pPr>
      <w:bookmarkStart w:name="_Hlk235521303" w:id="10"/>
      <w:r w:rsidRPr="00501BEB">
        <w:rPr>
          <w:rFonts w:eastAsia="DejaVuSerifCondensed" w:cs="DejaVuSerifCondensed"/>
          <w:szCs w:val="18"/>
        </w:rPr>
        <w:t>Antwoord 8</w:t>
      </w:r>
    </w:p>
    <w:p w:rsidRPr="00501BEB" w:rsidR="00257B17" w:rsidP="00257B17" w:rsidRDefault="00257B17" w14:paraId="0D9B3D09"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Aan het gebruik van cannabis zijn altijd gezondheidsrisico’s verbonden en het reguleren van de productie (al dan niet in een experiment) zorgt er niet voor dat cannabis veilig of niet schadelijk is. Tegelijkertijd is het wietexperiment gestart om gehoor te geven aan de problemen die burgemeesters ervaren met het huidige gedoogbeleid. Het kabinet vindt het daarom belangrijk om te onderzoeken wat de effecten zijn van een gereguleerde cannabisketen op volksgezondheid, criminaliteit en veiligheid. Dat helpt bij het besluit over het vervolg van het cannabisbeleid. Het kabinet heeft daarom in het coalitieakkoord afgesproken</w:t>
      </w:r>
      <w:r w:rsidRPr="00501BEB">
        <w:rPr>
          <w:szCs w:val="18"/>
        </w:rPr>
        <w:t xml:space="preserve"> </w:t>
      </w:r>
      <w:r w:rsidRPr="00501BEB">
        <w:rPr>
          <w:rFonts w:eastAsia="DejaVuSerifCondensed" w:cs="DejaVuSerifCondensed"/>
          <w:szCs w:val="18"/>
        </w:rPr>
        <w:t>om het wietexperiment voort te zetten, en, zoals in het wettelijk kader is vastgelegd, ook te evalueren. Op basis van de uitkomsten worden de vervolgstappen bepaald.</w:t>
      </w:r>
    </w:p>
    <w:bookmarkEnd w:id="10"/>
    <w:p w:rsidRPr="00501BEB" w:rsidR="00257B17" w:rsidP="00257B17" w:rsidRDefault="00257B17" w14:paraId="17814722"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5592940E"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Vraag 9</w:t>
      </w:r>
    </w:p>
    <w:p w:rsidRPr="00501BEB" w:rsidR="00257B17" w:rsidP="00257B17" w:rsidRDefault="00257B17" w14:paraId="7346B978" w14:textId="538C27CB">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Bent u van mening dat het onverantwoord is om het gebruik van cannabis verder te normaliseren, terwijl uit cijfers blijkt dat 42,6% van de 18-jarigen ooit cannabis heeft gebruikt en 23,7% dit in de afgelopen maand deed?</w:t>
      </w:r>
      <w:r>
        <w:rPr>
          <w:rFonts w:eastAsia="DejaVuSerifCondensed" w:cs="DejaVuSerifCondensed"/>
          <w:szCs w:val="18"/>
        </w:rPr>
        <w:t xml:space="preserve"> 3)</w:t>
      </w:r>
      <w:r w:rsidRPr="00501BEB">
        <w:rPr>
          <w:rFonts w:eastAsia="DejaVuSerifCondensed" w:cs="DejaVuSerifCondensed"/>
          <w:szCs w:val="18"/>
        </w:rPr>
        <w:t xml:space="preserve"> Zo ja, hoe rechtvaardigt u dit beleid vanuit het oogpunt van volksgezondheid en de bescherming van jongeren?</w:t>
      </w:r>
    </w:p>
    <w:p w:rsidRPr="00501BEB" w:rsidR="00257B17" w:rsidP="00257B17" w:rsidRDefault="00257B17" w14:paraId="7B462F5E"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4E94363D"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Antwoord 9</w:t>
      </w:r>
    </w:p>
    <w:p w:rsidRPr="00501BEB" w:rsidR="00257B17" w:rsidP="00257B17" w:rsidRDefault="00257B17" w14:paraId="26F19D33"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 xml:space="preserve">Het wietexperiment creëert uitsluitend een gereguleerde toevoer van cannabis naar de reeds bestaande coffeeshops. Het doel van het kabinet is niet dat meer mensen cannabis gaan gebruiken. Aan het gebruik van cannabis zijn namelijk altijd gezondheidsrisico’s verbonden. </w:t>
      </w:r>
      <w:bookmarkStart w:name="_Hlk234324137" w:id="11"/>
      <w:r w:rsidRPr="00501BEB">
        <w:rPr>
          <w:rFonts w:eastAsia="DejaVuSerifCondensed" w:cs="DejaVuSerifCondensed"/>
          <w:szCs w:val="18"/>
        </w:rPr>
        <w:t xml:space="preserve">Om die reden </w:t>
      </w:r>
      <w:bookmarkStart w:name="_Hlk234323475" w:id="12"/>
      <w:bookmarkEnd w:id="11"/>
      <w:r w:rsidRPr="00501BEB">
        <w:rPr>
          <w:rFonts w:eastAsia="DejaVuSerifCondensed" w:cs="DejaVuSerifCondensed"/>
          <w:szCs w:val="18"/>
        </w:rPr>
        <w:t>zijn binnen het wietexperiment verschillende waarborgen en preventiemaatregelen getroffen, zoals toegelicht in de beantwoording van vraag 3.</w:t>
      </w:r>
    </w:p>
    <w:p w:rsidRPr="00501BEB" w:rsidR="00257B17" w:rsidP="00257B17" w:rsidRDefault="00257B17" w14:paraId="1E287B9B"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121AA721" w14:textId="77777777">
      <w:pPr>
        <w:suppressAutoHyphens/>
        <w:autoSpaceDE w:val="0"/>
        <w:autoSpaceDN w:val="0"/>
        <w:adjustRightInd w:val="0"/>
        <w:spacing w:line="240" w:lineRule="auto"/>
        <w:rPr>
          <w:rFonts w:eastAsia="DejaVuSerifCondensed" w:cs="DejaVuSerifCondensed"/>
          <w:color w:val="000000"/>
          <w:szCs w:val="18"/>
        </w:rPr>
      </w:pPr>
      <w:bookmarkStart w:name="_Hlk236148460" w:id="13"/>
      <w:bookmarkEnd w:id="12"/>
      <w:r w:rsidRPr="00501BEB">
        <w:rPr>
          <w:rFonts w:eastAsia="DejaVuSerifCondensed" w:cs="DejaVuSerifCondensed"/>
          <w:color w:val="000000"/>
          <w:szCs w:val="18"/>
        </w:rPr>
        <w:t>Ontwikkelingen in drugsgebruik en de houding van jongeren ten aanzien van drugs worden nauwlettend gevolgd via monitoring. Het Trimbos-instituut verricht doorlopend onderzoek naar factoren die van invloed kunnen zijn op drugsgebruik onder minderjarigen en jongeren. Het is bekend dat drugsgebruik en normalisering doorgaans het resultaat zijn van een samenspel van verschillende factoren. Er is meestal niet één afzonderlijke oorzaak aan te wijzen. Het kabinet ondersteunt dit onderzoek, onder meer via financiering van het Trimbos-instituut, zodat trends en mogelijke risicofactoren op tijd in kaart worden gebracht.</w:t>
      </w:r>
    </w:p>
    <w:bookmarkEnd w:id="13"/>
    <w:p w:rsidRPr="00501BEB" w:rsidR="00257B17" w:rsidP="00257B17" w:rsidRDefault="00257B17" w14:paraId="238A4AD9"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0B66209B"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Vraag 10</w:t>
      </w:r>
    </w:p>
    <w:p w:rsidRPr="00501BEB" w:rsidR="00257B17" w:rsidP="00257B17" w:rsidRDefault="00257B17" w14:paraId="67FD8F81"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Moet het cannabisgebruik afnemen van u en welk effect beoogt u met het wietexperiment?</w:t>
      </w:r>
    </w:p>
    <w:p w:rsidRPr="00501BEB" w:rsidR="00257B17" w:rsidP="00257B17" w:rsidRDefault="00257B17" w14:paraId="057746B9"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4BE0C82D" w14:textId="77777777">
      <w:pPr>
        <w:suppressAutoHyphens/>
        <w:autoSpaceDE w:val="0"/>
        <w:autoSpaceDN w:val="0"/>
        <w:adjustRightInd w:val="0"/>
        <w:spacing w:line="240" w:lineRule="auto"/>
        <w:rPr>
          <w:rFonts w:eastAsia="DejaVuSerifCondensed" w:cs="DejaVuSerifCondensed"/>
          <w:szCs w:val="18"/>
        </w:rPr>
      </w:pPr>
      <w:bookmarkStart w:name="_Hlk234324095" w:id="14"/>
      <w:r w:rsidRPr="00501BEB">
        <w:rPr>
          <w:rFonts w:eastAsia="DejaVuSerifCondensed" w:cs="DejaVuSerifCondensed"/>
          <w:szCs w:val="18"/>
        </w:rPr>
        <w:t>Antwoord 10</w:t>
      </w:r>
    </w:p>
    <w:p w:rsidRPr="00501BEB" w:rsidR="00257B17" w:rsidP="00257B17" w:rsidRDefault="00257B17" w14:paraId="096C3D31"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Het Nederlandse drugsbeleid is gericht op het voorkomen van drugsgebruik, daaronder valt ook het gebruik van cannabis. Aan het gebruik van cannabis zijn namelijk altijd gezondheidsrisico’s verbonden en het reguleren van de productie (al dan niet in een experiment) zorgt er niet voor dat cannabis veilig of niet schadelijk is. Het kabinet wil vanwege deze risico’s niet dat door dit experiment meer mensen cannabis gaan gebruiken, m</w:t>
      </w:r>
      <w:bookmarkStart w:name="_Hlk234326679" w:id="15"/>
      <w:bookmarkEnd w:id="14"/>
      <w:r w:rsidRPr="00501BEB">
        <w:rPr>
          <w:rFonts w:eastAsia="DejaVuSerifCondensed" w:cs="DejaVuSerifCondensed"/>
          <w:szCs w:val="18"/>
        </w:rPr>
        <w:t xml:space="preserve">aar beoogt met het experiment inzicht te krijgen in de vraag of het mogelijk is om een gesloten, gereguleerde cannabisketen te creëren en welke effecten dit heeft op de volksgezondheid, criminaliteit en veiligheid. </w:t>
      </w:r>
      <w:bookmarkStart w:name="_Hlk234327108" w:id="16"/>
      <w:r w:rsidRPr="00501BEB">
        <w:rPr>
          <w:rFonts w:eastAsia="DejaVuSerifCondensed" w:cs="DejaVuSerifCondensed"/>
          <w:szCs w:val="18"/>
        </w:rPr>
        <w:t>Deze effecten worden inzichtelijk gemaakt door het onafhankelijk onderzoeksconsortium</w:t>
      </w:r>
      <w:r w:rsidRPr="00501BEB">
        <w:rPr>
          <w:rStyle w:val="Voetnootmarkering"/>
          <w:rFonts w:eastAsia="DejaVuSerifCondensed" w:cs="DejaVuSerifCondensed"/>
          <w:szCs w:val="18"/>
        </w:rPr>
        <w:footnoteReference w:id="3"/>
      </w:r>
      <w:r w:rsidRPr="00501BEB">
        <w:rPr>
          <w:rFonts w:eastAsia="DejaVuSerifCondensed" w:cs="DejaVuSerifCondensed"/>
          <w:szCs w:val="18"/>
        </w:rPr>
        <w:t xml:space="preserve"> en kunnen bijdragen aan het gesprek over de toekomst van het Nederlandse cannabisbeleid.</w:t>
      </w:r>
      <w:r w:rsidRPr="00501BEB">
        <w:rPr>
          <w:rFonts w:eastAsia="DejaVuSerifCondensed" w:cs="DejaVuSerifCondensed"/>
          <w:color w:val="000000"/>
          <w:szCs w:val="18"/>
        </w:rPr>
        <w:t xml:space="preserve"> Ook zullen beleidsmatig geleerde lessen van het wietexperiment onderdeel zijn van dit gesprek. Het kabinet is van mening dat de mogelijke invloed van de tabaksindustrie op de cannabismarkt hier onderdeel van is en zal moeten worden betrokken bij het toekomstige cannabisbeleid.</w:t>
      </w:r>
    </w:p>
    <w:bookmarkEnd w:id="15"/>
    <w:bookmarkEnd w:id="16"/>
    <w:p w:rsidRPr="00501BEB" w:rsidR="00257B17" w:rsidP="00257B17" w:rsidRDefault="00257B17" w14:paraId="18744849"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4005D6EF"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Vraag 11</w:t>
      </w:r>
    </w:p>
    <w:p w:rsidRPr="00501BEB" w:rsidR="00257B17" w:rsidP="00257B17" w:rsidRDefault="00257B17" w14:paraId="3B13746D"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Kunt u met de huidige wetgeving tabaksproducenten weren of zijn aanvullende wettelijke beperkingen noodzakelijk om te voorkomen dat producenten van tabaksproducten ook actief worden op de Nederlandse cannabismarkt?</w:t>
      </w:r>
    </w:p>
    <w:p w:rsidRPr="00501BEB" w:rsidR="00257B17" w:rsidP="00257B17" w:rsidRDefault="00257B17" w14:paraId="74665F1F"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165C2D30"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Antwoord 11</w:t>
      </w:r>
    </w:p>
    <w:p w:rsidRPr="00501BEB" w:rsidR="00257B17" w:rsidP="00257B17" w:rsidRDefault="00257B17" w14:paraId="693E46E7"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De Wet experiment gesloten coffeeshopketen bevat geen expliciete bepaling die deelname uitsluit op basis van de achtergrond van aandeelhouders, zoals toegelicht in de beantwoording van vraag 2.</w:t>
      </w:r>
    </w:p>
    <w:p w:rsidRPr="00501BEB" w:rsidR="00257B17" w:rsidP="00257B17" w:rsidRDefault="00257B17" w14:paraId="1532FC2A"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60008E7A"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Vraag 12</w:t>
      </w:r>
    </w:p>
    <w:p w:rsidRPr="00501BEB" w:rsidR="00257B17" w:rsidP="00257B17" w:rsidRDefault="00257B17" w14:paraId="1066D981"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Deelt u de opvatting dat het wrang en zorgwekkend is dat bedrijven die jarenlang hebben geprofiteerd van nicotineverslaving nu hun verdienmodel verleggen naar cannabis, terwijl de overheid tegelijkertijd inzet op preventie en het terugdringen van middelengebruik? Zo ja, wordt het geen tijd om het wietexperiment in rook te laten opgaan en er een punt achter te zetten?</w:t>
      </w:r>
    </w:p>
    <w:p w:rsidRPr="00501BEB" w:rsidR="00257B17" w:rsidP="00257B17" w:rsidRDefault="00257B17" w14:paraId="54B2F504"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706E7B68" w14:textId="77777777">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Antwoord 12</w:t>
      </w:r>
    </w:p>
    <w:p w:rsidRPr="00257B17" w:rsidR="00257B17" w:rsidP="00257B17" w:rsidRDefault="00257B17" w14:paraId="4F7F8673" w14:textId="0CFE50A9">
      <w:pPr>
        <w:suppressAutoHyphens/>
        <w:autoSpaceDE w:val="0"/>
        <w:autoSpaceDN w:val="0"/>
        <w:adjustRightInd w:val="0"/>
        <w:spacing w:line="240" w:lineRule="auto"/>
        <w:rPr>
          <w:rFonts w:eastAsia="DejaVuSerifCondensed" w:cs="DejaVuSerifCondensed"/>
          <w:szCs w:val="18"/>
        </w:rPr>
      </w:pPr>
      <w:r w:rsidRPr="00501BEB">
        <w:rPr>
          <w:rFonts w:eastAsia="DejaVuSerifCondensed" w:cs="DejaVuSerifCondensed"/>
          <w:szCs w:val="18"/>
        </w:rPr>
        <w:t xml:space="preserve">Nee. In het coalitieakkoord is afgesproken om het wietexperiment voort te zetten. Het kabinet beoogt met het experiment inzicht te krijgen in de vraag of het mogelijk is om een gesloten, gereguleerde cannabisketen te creëren en welke effecten dit heeft op de volksgezondheid, criminaliteit en veiligheid. Deze effecten worden in kaart gebracht door het onafhankelijk onderzoeksconsortium. Het is belangrijk om van deze uitkomsten te leren; deze zullen het gesprek over de toekomst van het Nederlandse cannabisbeleid immers verder brengen. </w:t>
      </w:r>
    </w:p>
    <w:p w:rsidRPr="00501BEB" w:rsidR="00257B17" w:rsidP="00257B17" w:rsidRDefault="00257B17" w14:paraId="74A00AE6" w14:textId="77777777">
      <w:pPr>
        <w:suppressAutoHyphens/>
        <w:autoSpaceDE w:val="0"/>
        <w:autoSpaceDN w:val="0"/>
        <w:adjustRightInd w:val="0"/>
        <w:spacing w:line="240" w:lineRule="auto"/>
        <w:rPr>
          <w:rFonts w:eastAsia="DejaVuSerifCondensed" w:cs="DejaVuSerifCondensed"/>
          <w:szCs w:val="18"/>
        </w:rPr>
      </w:pPr>
    </w:p>
    <w:p w:rsidRPr="00501BEB" w:rsidR="00257B17" w:rsidP="00257B17" w:rsidRDefault="00257B17" w14:paraId="3ACF0A53" w14:textId="7C3E5F21">
      <w:pPr>
        <w:suppressAutoHyphens/>
        <w:autoSpaceDE w:val="0"/>
        <w:autoSpaceDN w:val="0"/>
        <w:adjustRightInd w:val="0"/>
        <w:spacing w:line="240" w:lineRule="auto"/>
        <w:rPr>
          <w:rFonts w:eastAsia="DejaVuSerifCondensed" w:cs="DejaVuSerifCondensed"/>
          <w:szCs w:val="18"/>
        </w:rPr>
      </w:pPr>
      <w:r>
        <w:rPr>
          <w:rFonts w:eastAsia="DejaVuSerifCondensed" w:cs="DejaVuSerifCondensed"/>
          <w:szCs w:val="18"/>
        </w:rPr>
        <w:lastRenderedPageBreak/>
        <w:t>1)</w:t>
      </w:r>
      <w:r w:rsidRPr="00501BEB">
        <w:rPr>
          <w:rFonts w:eastAsia="DejaVuSerifCondensed" w:cs="DejaVuSerifCondensed"/>
          <w:szCs w:val="18"/>
        </w:rPr>
        <w:t xml:space="preserve"> NU.nl, 8 juni 2026, 'Van Marlboro naar marihuana: tabaksreus stapt in legale Nederlandse wiet', Van Marlboro naar marihuana: tabaksreus stapt in legale Nederlandse wiet | Economie | NU.nl</w:t>
      </w:r>
    </w:p>
    <w:p w:rsidRPr="00501BEB" w:rsidR="00257B17" w:rsidP="00257B17" w:rsidRDefault="00257B17" w14:paraId="33CBD3DE" w14:textId="3123984C">
      <w:pPr>
        <w:suppressAutoHyphens/>
        <w:autoSpaceDE w:val="0"/>
        <w:autoSpaceDN w:val="0"/>
        <w:adjustRightInd w:val="0"/>
        <w:spacing w:line="240" w:lineRule="auto"/>
        <w:rPr>
          <w:rFonts w:eastAsia="DejaVuSerifCondensed" w:cs="DejaVuSerifCondensed"/>
          <w:szCs w:val="18"/>
          <w:lang w:val="en-US"/>
        </w:rPr>
      </w:pPr>
      <w:r>
        <w:rPr>
          <w:rFonts w:eastAsia="DejaVuSerifCondensed" w:cs="DejaVuSerifCondensed"/>
          <w:szCs w:val="18"/>
          <w:lang w:val="en-US"/>
        </w:rPr>
        <w:t>2)</w:t>
      </w:r>
      <w:r w:rsidRPr="00501BEB">
        <w:rPr>
          <w:rFonts w:eastAsia="DejaVuSerifCondensed" w:cs="DejaVuSerifCondensed"/>
          <w:szCs w:val="18"/>
          <w:lang w:val="en-US"/>
        </w:rPr>
        <w:t xml:space="preserve"> PLOS Medicine, 29 mei 2026, 'Availability, appeal, and addictiveness by design: Tobacco and nicotine industry deliberate targeting of youth', Availability, appeal, and addictiveness by design: Tobacco and nicotine industry deliberate targeting of youth | PLOS Medicine</w:t>
      </w:r>
    </w:p>
    <w:p w:rsidRPr="00501BEB" w:rsidR="00257B17" w:rsidP="00257B17" w:rsidRDefault="00257B17" w14:paraId="2D8BAA97" w14:textId="4BDE2892">
      <w:pPr>
        <w:suppressAutoHyphens/>
        <w:autoSpaceDE w:val="0"/>
        <w:autoSpaceDN w:val="0"/>
        <w:adjustRightInd w:val="0"/>
        <w:spacing w:line="240" w:lineRule="auto"/>
        <w:rPr>
          <w:szCs w:val="18"/>
        </w:rPr>
      </w:pPr>
      <w:r>
        <w:rPr>
          <w:rFonts w:eastAsia="DejaVuSerifCondensed" w:cs="DejaVuSerifCondensed"/>
          <w:szCs w:val="18"/>
        </w:rPr>
        <w:t>3)</w:t>
      </w:r>
      <w:r w:rsidRPr="00501BEB">
        <w:rPr>
          <w:rFonts w:eastAsia="DejaVuSerifCondensed" w:cs="DejaVuSerifCondensed"/>
          <w:szCs w:val="18"/>
        </w:rPr>
        <w:t xml:space="preserve"> Nederlands Jeugdinstituut, 24 mei 2025, 'Cijfers over drugsgebruik', Cijfers over drugsgebruik | Nederlands Jeugdinstituut</w:t>
      </w:r>
    </w:p>
    <w:p w:rsidRPr="00501BEB" w:rsidR="00257B17" w:rsidP="00257B17" w:rsidRDefault="00257B17" w14:paraId="621C2C82" w14:textId="77777777">
      <w:pPr>
        <w:suppressAutoHyphens/>
        <w:rPr>
          <w:szCs w:val="18"/>
        </w:rPr>
      </w:pPr>
    </w:p>
    <w:p w:rsidR="002C3023" w:rsidRDefault="002C3023" w14:paraId="6DE46645"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632F9" w14:textId="77777777" w:rsidR="00E90EE3" w:rsidRDefault="00E90EE3" w:rsidP="00257B17">
      <w:pPr>
        <w:spacing w:after="0" w:line="240" w:lineRule="auto"/>
      </w:pPr>
      <w:r>
        <w:separator/>
      </w:r>
    </w:p>
  </w:endnote>
  <w:endnote w:type="continuationSeparator" w:id="0">
    <w:p w14:paraId="023AE09A" w14:textId="77777777" w:rsidR="00E90EE3" w:rsidRDefault="00E90EE3" w:rsidP="00257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B1FB3" w14:textId="77777777" w:rsidR="00257B17" w:rsidRPr="00257B17" w:rsidRDefault="00257B17" w:rsidP="00257B1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4E849" w14:textId="77777777" w:rsidR="00257B17" w:rsidRPr="00257B17" w:rsidRDefault="00257B17" w:rsidP="00257B1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624C7" w14:textId="77777777" w:rsidR="00257B17" w:rsidRPr="00257B17" w:rsidRDefault="00257B17" w:rsidP="00257B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C9207" w14:textId="77777777" w:rsidR="00E90EE3" w:rsidRDefault="00E90EE3" w:rsidP="00257B17">
      <w:pPr>
        <w:spacing w:after="0" w:line="240" w:lineRule="auto"/>
      </w:pPr>
      <w:r>
        <w:separator/>
      </w:r>
    </w:p>
  </w:footnote>
  <w:footnote w:type="continuationSeparator" w:id="0">
    <w:p w14:paraId="127F3800" w14:textId="77777777" w:rsidR="00E90EE3" w:rsidRDefault="00E90EE3" w:rsidP="00257B17">
      <w:pPr>
        <w:spacing w:after="0" w:line="240" w:lineRule="auto"/>
      </w:pPr>
      <w:r>
        <w:continuationSeparator/>
      </w:r>
    </w:p>
  </w:footnote>
  <w:footnote w:id="1">
    <w:p w14:paraId="3427FD4C" w14:textId="77777777" w:rsidR="00257B17" w:rsidRPr="00E63C09" w:rsidRDefault="00257B17" w:rsidP="00257B17">
      <w:pPr>
        <w:pStyle w:val="Voetnoottekst"/>
        <w:rPr>
          <w:sz w:val="16"/>
          <w:szCs w:val="16"/>
        </w:rPr>
      </w:pPr>
      <w:r w:rsidRPr="00E63C09">
        <w:rPr>
          <w:rStyle w:val="Voetnootmarkering"/>
          <w:sz w:val="16"/>
          <w:szCs w:val="16"/>
        </w:rPr>
        <w:footnoteRef/>
      </w:r>
      <w:r w:rsidRPr="00E63C09">
        <w:rPr>
          <w:sz w:val="16"/>
          <w:szCs w:val="16"/>
        </w:rPr>
        <w:t xml:space="preserve"> De Wet experiment gesloten coffeeshopketen, het Besluit experiment gesloten coffeeshopketen en de Regeling experiment gesloten coffeeshopketen. </w:t>
      </w:r>
    </w:p>
  </w:footnote>
  <w:footnote w:id="2">
    <w:p w14:paraId="7D2D11C4" w14:textId="77777777" w:rsidR="00257B17" w:rsidRPr="00DB7ED0" w:rsidRDefault="00257B17" w:rsidP="00257B17">
      <w:pPr>
        <w:pStyle w:val="Voetnoottekst"/>
        <w:rPr>
          <w:sz w:val="16"/>
          <w:szCs w:val="16"/>
        </w:rPr>
      </w:pPr>
      <w:r w:rsidRPr="00DB7ED0">
        <w:rPr>
          <w:rStyle w:val="Voetnootmarkering"/>
          <w:sz w:val="16"/>
          <w:szCs w:val="16"/>
        </w:rPr>
        <w:footnoteRef/>
      </w:r>
      <w:r w:rsidRPr="00DB7ED0">
        <w:rPr>
          <w:sz w:val="16"/>
          <w:szCs w:val="16"/>
        </w:rPr>
        <w:t xml:space="preserve"> Kamerstuk 36279-16: Motie van de leden Michon-Derkzen en Bikker over een periodieke Bibob-toets en een richtlijn voor ingelote telers</w:t>
      </w:r>
      <w:r>
        <w:rPr>
          <w:sz w:val="16"/>
          <w:szCs w:val="16"/>
        </w:rPr>
        <w:t>.</w:t>
      </w:r>
    </w:p>
  </w:footnote>
  <w:footnote w:id="3">
    <w:p w14:paraId="450F7F25" w14:textId="77777777" w:rsidR="00257B17" w:rsidRPr="00501BEB" w:rsidRDefault="00257B17" w:rsidP="00257B17">
      <w:pPr>
        <w:pStyle w:val="Voetnoottekst"/>
        <w:rPr>
          <w:sz w:val="16"/>
          <w:szCs w:val="16"/>
        </w:rPr>
      </w:pPr>
      <w:r w:rsidRPr="00501BEB">
        <w:rPr>
          <w:rStyle w:val="Voetnootmarkering"/>
          <w:sz w:val="16"/>
          <w:szCs w:val="16"/>
        </w:rPr>
        <w:footnoteRef/>
      </w:r>
      <w:r w:rsidRPr="00501BEB">
        <w:rPr>
          <w:sz w:val="16"/>
          <w:szCs w:val="16"/>
        </w:rPr>
        <w:t xml:space="preserve"> </w:t>
      </w:r>
      <w:bookmarkStart w:id="17" w:name="_Hlk236143544"/>
      <w:r w:rsidRPr="00501BEB">
        <w:rPr>
          <w:sz w:val="16"/>
          <w:szCs w:val="16"/>
        </w:rPr>
        <w:t>Gecoördineerd door het WODC en bestaande uit Breuer&amp;Intraval, RAND Europe en het Trimbos instituut.</w:t>
      </w:r>
      <w:bookmarkEnd w:id="1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C11B" w14:textId="77777777" w:rsidR="00257B17" w:rsidRPr="00257B17" w:rsidRDefault="00257B17" w:rsidP="00257B1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6FC04" w14:textId="77777777" w:rsidR="00257B17" w:rsidRPr="00257B17" w:rsidRDefault="00257B17" w:rsidP="00257B1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ADC8F" w14:textId="77777777" w:rsidR="00257B17" w:rsidRPr="00257B17" w:rsidRDefault="00257B17" w:rsidP="00257B1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17"/>
    <w:rsid w:val="00257B17"/>
    <w:rsid w:val="002C3023"/>
    <w:rsid w:val="00B82953"/>
    <w:rsid w:val="00DF7A30"/>
    <w:rsid w:val="00E90E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7915D"/>
  <w15:chartTrackingRefBased/>
  <w15:docId w15:val="{5B091921-3B1D-4D0B-816E-5599A75E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57B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57B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57B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57B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57B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57B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57B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57B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57B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57B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57B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57B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57B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57B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57B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57B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57B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57B17"/>
    <w:rPr>
      <w:rFonts w:eastAsiaTheme="majorEastAsia" w:cstheme="majorBidi"/>
      <w:color w:val="272727" w:themeColor="text1" w:themeTint="D8"/>
    </w:rPr>
  </w:style>
  <w:style w:type="paragraph" w:styleId="Titel">
    <w:name w:val="Title"/>
    <w:basedOn w:val="Standaard"/>
    <w:next w:val="Standaard"/>
    <w:link w:val="TitelChar"/>
    <w:uiPriority w:val="10"/>
    <w:qFormat/>
    <w:rsid w:val="00257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57B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57B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57B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57B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57B17"/>
    <w:rPr>
      <w:i/>
      <w:iCs/>
      <w:color w:val="404040" w:themeColor="text1" w:themeTint="BF"/>
    </w:rPr>
  </w:style>
  <w:style w:type="paragraph" w:styleId="Lijstalinea">
    <w:name w:val="List Paragraph"/>
    <w:basedOn w:val="Standaard"/>
    <w:uiPriority w:val="34"/>
    <w:qFormat/>
    <w:rsid w:val="00257B17"/>
    <w:pPr>
      <w:ind w:left="720"/>
      <w:contextualSpacing/>
    </w:pPr>
  </w:style>
  <w:style w:type="character" w:styleId="Intensievebenadrukking">
    <w:name w:val="Intense Emphasis"/>
    <w:basedOn w:val="Standaardalinea-lettertype"/>
    <w:uiPriority w:val="21"/>
    <w:qFormat/>
    <w:rsid w:val="00257B17"/>
    <w:rPr>
      <w:i/>
      <w:iCs/>
      <w:color w:val="0F4761" w:themeColor="accent1" w:themeShade="BF"/>
    </w:rPr>
  </w:style>
  <w:style w:type="paragraph" w:styleId="Duidelijkcitaat">
    <w:name w:val="Intense Quote"/>
    <w:basedOn w:val="Standaard"/>
    <w:next w:val="Standaard"/>
    <w:link w:val="DuidelijkcitaatChar"/>
    <w:uiPriority w:val="30"/>
    <w:qFormat/>
    <w:rsid w:val="00257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57B17"/>
    <w:rPr>
      <w:i/>
      <w:iCs/>
      <w:color w:val="0F4761" w:themeColor="accent1" w:themeShade="BF"/>
    </w:rPr>
  </w:style>
  <w:style w:type="character" w:styleId="Intensieveverwijzing">
    <w:name w:val="Intense Reference"/>
    <w:basedOn w:val="Standaardalinea-lettertype"/>
    <w:uiPriority w:val="32"/>
    <w:qFormat/>
    <w:rsid w:val="00257B17"/>
    <w:rPr>
      <w:b/>
      <w:bCs/>
      <w:smallCaps/>
      <w:color w:val="0F4761" w:themeColor="accent1" w:themeShade="BF"/>
      <w:spacing w:val="5"/>
    </w:rPr>
  </w:style>
  <w:style w:type="paragraph" w:styleId="Voetnoottekst">
    <w:name w:val="footnote text"/>
    <w:basedOn w:val="Standaard"/>
    <w:link w:val="VoetnoottekstChar"/>
    <w:uiPriority w:val="99"/>
    <w:semiHidden/>
    <w:rsid w:val="00257B17"/>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257B17"/>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unhideWhenUsed/>
    <w:rsid w:val="00257B17"/>
    <w:rPr>
      <w:vertAlign w:val="superscript"/>
    </w:rPr>
  </w:style>
  <w:style w:type="paragraph" w:styleId="Koptekst">
    <w:name w:val="header"/>
    <w:basedOn w:val="Standaard"/>
    <w:link w:val="KoptekstChar"/>
    <w:uiPriority w:val="99"/>
    <w:unhideWhenUsed/>
    <w:rsid w:val="00257B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57B17"/>
  </w:style>
  <w:style w:type="paragraph" w:styleId="Voettekst">
    <w:name w:val="footer"/>
    <w:basedOn w:val="Standaard"/>
    <w:link w:val="VoettekstChar"/>
    <w:uiPriority w:val="99"/>
    <w:unhideWhenUsed/>
    <w:rsid w:val="00257B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57B17"/>
  </w:style>
  <w:style w:type="paragraph" w:styleId="Geenafstand">
    <w:name w:val="No Spacing"/>
    <w:uiPriority w:val="1"/>
    <w:qFormat/>
    <w:rsid w:val="00257B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2000</ap:Words>
  <ap:Characters>11001</ap:Characters>
  <ap:DocSecurity>0</ap:DocSecurity>
  <ap:Lines>91</ap:Lines>
  <ap:Paragraphs>25</ap:Paragraphs>
  <ap:ScaleCrop>false</ap:ScaleCrop>
  <ap:LinksUpToDate>false</ap:LinksUpToDate>
  <ap:CharactersWithSpaces>12976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2026-08-25T15:41:00.0000000Z</dcterms:created>
  <dcterms:modified xsi:type="dcterms:W3CDTF">2026-08-25T15:43:00.0000000Z</dcterms:modified>
  <version/>
  <category/>
</coreProperties>
</file>