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7BD" w:rsidRPr="00D177BD" w:rsidRDefault="00D177BD" w:rsidP="00D177BD">
      <w:pPr>
        <w:spacing w:after="240"/>
        <w:jc w:val="center"/>
        <w:rPr>
          <w:rFonts w:eastAsia="Times New Roman"/>
          <w:szCs w:val="20"/>
          <w:lang w:val="fr-FR" w:eastAsia="en-GB"/>
        </w:rPr>
      </w:pPr>
      <w:bookmarkStart w:id="0" w:name="_GoBack"/>
      <w:bookmarkEnd w:id="0"/>
      <w:r w:rsidRPr="00D177BD">
        <w:rPr>
          <w:rFonts w:eastAsia="Times New Roman"/>
          <w:b/>
          <w:caps/>
          <w:szCs w:val="20"/>
          <w:lang w:val="fr-FR" w:eastAsia="en-GB"/>
        </w:rPr>
        <w:t>Procédure</w:t>
      </w:r>
      <w:r w:rsidRPr="00D177BD">
        <w:rPr>
          <w:rFonts w:eastAsia="Times New Roman"/>
          <w:b/>
          <w:szCs w:val="20"/>
          <w:lang w:val="fr-FR" w:eastAsia="en-GB"/>
        </w:rPr>
        <w:t xml:space="preserve"> LÉGISLATIVE ORDINAIRE</w:t>
      </w:r>
    </w:p>
    <w:p w:rsidR="00D177BD" w:rsidRPr="00D177BD" w:rsidRDefault="00D177BD" w:rsidP="00D177BD">
      <w:pPr>
        <w:spacing w:after="600"/>
        <w:jc w:val="center"/>
        <w:rPr>
          <w:rFonts w:eastAsia="Times New Roman"/>
          <w:b/>
          <w:bCs/>
          <w:lang w:val="fr-FR" w:eastAsia="en-GB"/>
        </w:rPr>
      </w:pPr>
      <w:r w:rsidRPr="00D177BD">
        <w:rPr>
          <w:rFonts w:eastAsia="Times New Roman"/>
          <w:b/>
          <w:szCs w:val="20"/>
          <w:lang w:val="fr-FR" w:eastAsia="en-GB"/>
        </w:rPr>
        <w:t>Suite donnée à la résolution législative du Parlement européen sur la proposition de règlement du Parlement européen et du Conseil modifiant les règlements (UE) 2017/1129, (UE) nº 596/2014 et (UE) nº 600/2014 afin de rendre les marchés des capitaux de l’Union plus attractifs pour les entreprises et de faciliter l’accès des petites et moyennes entreprises aux capitaux</w:t>
      </w:r>
    </w:p>
    <w:p w:rsidR="00D177BD" w:rsidRPr="00D177BD" w:rsidRDefault="00D177BD" w:rsidP="00D177BD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D177BD">
        <w:rPr>
          <w:rFonts w:eastAsia="Times New Roman"/>
          <w:b/>
          <w:szCs w:val="20"/>
          <w:lang w:val="fr-FR" w:eastAsia="en-GB"/>
        </w:rPr>
        <w:t>1.</w:t>
      </w:r>
      <w:r w:rsidRPr="00D177BD">
        <w:rPr>
          <w:rFonts w:eastAsia="Times New Roman"/>
          <w:szCs w:val="20"/>
          <w:lang w:val="fr-FR" w:eastAsia="en-GB"/>
        </w:rPr>
        <w:tab/>
      </w:r>
      <w:r w:rsidRPr="00D177BD">
        <w:rPr>
          <w:rFonts w:eastAsia="Times New Roman"/>
          <w:b/>
          <w:szCs w:val="20"/>
          <w:lang w:val="fr-FR" w:eastAsia="en-GB"/>
        </w:rPr>
        <w:t xml:space="preserve">Rapporteur: </w:t>
      </w:r>
      <w:r w:rsidRPr="00D177BD">
        <w:rPr>
          <w:rFonts w:eastAsia="Times New Roman"/>
          <w:szCs w:val="20"/>
          <w:lang w:val="fr-FR" w:eastAsia="en-GB"/>
        </w:rPr>
        <w:t>Alfred SANT (S&amp;D/MT)</w:t>
      </w:r>
    </w:p>
    <w:p w:rsidR="00D177BD" w:rsidRPr="00D177BD" w:rsidRDefault="00D177BD" w:rsidP="00D177BD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D177BD">
        <w:rPr>
          <w:rFonts w:eastAsia="Times New Roman"/>
          <w:b/>
          <w:szCs w:val="20"/>
          <w:lang w:val="fr-FR" w:eastAsia="en-GB"/>
        </w:rPr>
        <w:t>2.</w:t>
      </w:r>
      <w:r w:rsidRPr="00D177BD">
        <w:rPr>
          <w:rFonts w:eastAsia="Times New Roman"/>
          <w:szCs w:val="20"/>
          <w:lang w:val="fr-FR" w:eastAsia="en-GB"/>
        </w:rPr>
        <w:tab/>
      </w:r>
      <w:r w:rsidRPr="00D177BD">
        <w:rPr>
          <w:rFonts w:eastAsia="Times New Roman"/>
          <w:b/>
          <w:szCs w:val="20"/>
          <w:lang w:val="fr-FR" w:eastAsia="en-GB"/>
        </w:rPr>
        <w:t>Numéros de référence:</w:t>
      </w:r>
      <w:r w:rsidRPr="00D177BD">
        <w:rPr>
          <w:rFonts w:eastAsia="Times New Roman"/>
          <w:szCs w:val="20"/>
          <w:lang w:val="fr-FR" w:eastAsia="en-GB"/>
        </w:rPr>
        <w:t xml:space="preserve"> 2022/0411 (COD) / A9-0302/2023 / P9_TA(2024)0350</w:t>
      </w:r>
    </w:p>
    <w:p w:rsidR="00D177BD" w:rsidRPr="00D177BD" w:rsidRDefault="00D177BD" w:rsidP="00D177BD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D177BD">
        <w:rPr>
          <w:rFonts w:eastAsia="Times New Roman"/>
          <w:b/>
          <w:szCs w:val="20"/>
          <w:lang w:val="fr-FR" w:eastAsia="en-GB"/>
        </w:rPr>
        <w:t>3.</w:t>
      </w:r>
      <w:r w:rsidRPr="00D177BD">
        <w:rPr>
          <w:rFonts w:eastAsia="Times New Roman"/>
          <w:szCs w:val="20"/>
          <w:lang w:val="fr-FR" w:eastAsia="en-GB"/>
        </w:rPr>
        <w:tab/>
      </w:r>
      <w:r w:rsidRPr="00D177BD">
        <w:rPr>
          <w:rFonts w:eastAsia="Times New Roman"/>
          <w:b/>
          <w:szCs w:val="20"/>
          <w:lang w:val="fr-FR" w:eastAsia="en-GB"/>
        </w:rPr>
        <w:t>Date d'adoption de la résolution:</w:t>
      </w:r>
      <w:r w:rsidRPr="00D177BD">
        <w:rPr>
          <w:rFonts w:eastAsia="Times New Roman"/>
          <w:szCs w:val="20"/>
          <w:lang w:val="fr-FR" w:eastAsia="en-GB"/>
        </w:rPr>
        <w:t xml:space="preserve"> 24 avril 2024</w:t>
      </w:r>
    </w:p>
    <w:p w:rsidR="00D177BD" w:rsidRPr="00D177BD" w:rsidRDefault="00D177BD" w:rsidP="00D177BD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D177BD">
        <w:rPr>
          <w:rFonts w:eastAsia="Times New Roman"/>
          <w:b/>
          <w:szCs w:val="20"/>
          <w:lang w:val="fr-FR" w:eastAsia="en-GB"/>
        </w:rPr>
        <w:t>4.</w:t>
      </w:r>
      <w:r w:rsidRPr="00D177BD">
        <w:rPr>
          <w:rFonts w:eastAsia="Times New Roman"/>
          <w:szCs w:val="20"/>
          <w:lang w:val="fr-FR" w:eastAsia="en-GB"/>
        </w:rPr>
        <w:tab/>
      </w:r>
      <w:r w:rsidRPr="00D177BD">
        <w:rPr>
          <w:rFonts w:eastAsia="Times New Roman"/>
          <w:b/>
          <w:szCs w:val="20"/>
          <w:lang w:val="fr-FR" w:eastAsia="en-GB"/>
        </w:rPr>
        <w:t>Base juridique:</w:t>
      </w:r>
      <w:r w:rsidRPr="00D177BD">
        <w:rPr>
          <w:rFonts w:eastAsia="Times New Roman"/>
          <w:szCs w:val="20"/>
          <w:lang w:val="fr-FR" w:eastAsia="en-GB"/>
        </w:rPr>
        <w:t xml:space="preserve"> article 114 du traité sur le fonctionnement de l’Union européenne</w:t>
      </w:r>
    </w:p>
    <w:p w:rsidR="00D177BD" w:rsidRPr="00D177BD" w:rsidRDefault="00D177BD" w:rsidP="00D177BD">
      <w:pPr>
        <w:spacing w:after="240" w:line="240" w:lineRule="atLeast"/>
        <w:ind w:left="567" w:hanging="567"/>
        <w:rPr>
          <w:rFonts w:eastAsia="Times New Roman"/>
          <w:lang w:val="fr-FR" w:eastAsia="en-GB"/>
        </w:rPr>
      </w:pPr>
      <w:r w:rsidRPr="00D177BD">
        <w:rPr>
          <w:rFonts w:eastAsia="Times New Roman"/>
          <w:b/>
          <w:szCs w:val="20"/>
          <w:lang w:val="fr-FR" w:eastAsia="en-GB"/>
        </w:rPr>
        <w:t>5.</w:t>
      </w:r>
      <w:r w:rsidRPr="00D177BD">
        <w:rPr>
          <w:rFonts w:eastAsia="Times New Roman"/>
          <w:szCs w:val="20"/>
          <w:lang w:val="fr-FR" w:eastAsia="en-GB"/>
        </w:rPr>
        <w:tab/>
      </w:r>
      <w:r w:rsidRPr="00D177BD">
        <w:rPr>
          <w:rFonts w:eastAsia="Times New Roman"/>
          <w:b/>
          <w:szCs w:val="20"/>
          <w:lang w:val="fr-FR" w:eastAsia="en-GB"/>
        </w:rPr>
        <w:t>Commission parlementaire compétente:</w:t>
      </w:r>
      <w:r w:rsidRPr="00D177BD">
        <w:rPr>
          <w:rFonts w:eastAsia="Times New Roman"/>
          <w:szCs w:val="20"/>
          <w:lang w:val="fr-FR" w:eastAsia="en-GB"/>
        </w:rPr>
        <w:t xml:space="preserve"> commission des affaires économiques et monétaires (ECON)</w:t>
      </w:r>
    </w:p>
    <w:p w:rsidR="008765BE" w:rsidRDefault="00D177BD" w:rsidP="00D177BD">
      <w:r w:rsidRPr="00D177BD">
        <w:rPr>
          <w:rFonts w:eastAsia="Times New Roman"/>
          <w:b/>
          <w:szCs w:val="20"/>
          <w:lang w:val="fr-FR" w:eastAsia="en-GB"/>
        </w:rPr>
        <w:t>6.</w:t>
      </w:r>
      <w:r w:rsidRPr="00D177BD">
        <w:rPr>
          <w:rFonts w:eastAsia="Times New Roman"/>
          <w:szCs w:val="20"/>
          <w:lang w:val="fr-FR" w:eastAsia="en-GB"/>
        </w:rPr>
        <w:tab/>
      </w:r>
      <w:r w:rsidRPr="00D177BD">
        <w:rPr>
          <w:rFonts w:eastAsia="Times New Roman"/>
          <w:b/>
          <w:szCs w:val="20"/>
          <w:lang w:val="fr-FR" w:eastAsia="en-GB"/>
        </w:rPr>
        <w:t>Position de la Commission:</w:t>
      </w:r>
      <w:r w:rsidRPr="00D177BD">
        <w:rPr>
          <w:rFonts w:eastAsia="Times New Roman"/>
          <w:color w:val="000000"/>
          <w:sz w:val="22"/>
          <w:szCs w:val="20"/>
          <w:lang w:val="fr-FR" w:eastAsia="en-GB"/>
        </w:rPr>
        <w:t xml:space="preserve"> </w:t>
      </w:r>
      <w:r w:rsidRPr="00D177BD">
        <w:rPr>
          <w:rFonts w:eastAsia="Times New Roman"/>
          <w:color w:val="000000"/>
          <w:szCs w:val="20"/>
          <w:lang w:val="fr-FR" w:eastAsia="en-GB"/>
        </w:rPr>
        <w:t>la Commission accepte tous les amendements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BD"/>
    <w:rsid w:val="005762E3"/>
    <w:rsid w:val="008765BE"/>
    <w:rsid w:val="00D1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D92E0-A484-4905-96D6-9177596A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>European Parliament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2024-08-09T11:17:00Z</dcterms:created>
  <dcterms:modified xsi:type="dcterms:W3CDTF">2024-08-09T11:17:00Z</dcterms:modified>
</cp:coreProperties>
</file>