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863" w:rsidRPr="00E62863" w:rsidRDefault="00E62863" w:rsidP="00E62863">
      <w:pPr>
        <w:spacing w:after="240"/>
        <w:jc w:val="center"/>
        <w:rPr>
          <w:rFonts w:eastAsia="Times New Roman"/>
          <w:szCs w:val="20"/>
          <w:lang w:val="fr-FR" w:eastAsia="en-GB"/>
        </w:rPr>
      </w:pPr>
      <w:bookmarkStart w:id="0" w:name="_GoBack"/>
      <w:bookmarkEnd w:id="0"/>
      <w:r w:rsidRPr="00E62863">
        <w:rPr>
          <w:rFonts w:eastAsia="Times New Roman"/>
          <w:b/>
          <w:szCs w:val="20"/>
          <w:lang w:val="fr-FR" w:eastAsia="en-GB"/>
        </w:rPr>
        <w:t>PROCÉDURE LÉGISLATIVE ORDINAIRE</w:t>
      </w:r>
    </w:p>
    <w:p w:rsidR="00E62863" w:rsidRPr="00E62863" w:rsidRDefault="00E62863" w:rsidP="00E62863">
      <w:pPr>
        <w:spacing w:after="600"/>
        <w:jc w:val="center"/>
        <w:rPr>
          <w:rFonts w:eastAsia="Times New Roman"/>
          <w:b/>
          <w:bCs/>
          <w:lang w:val="fr-FR" w:eastAsia="en-GB"/>
        </w:rPr>
      </w:pPr>
      <w:bookmarkStart w:id="1" w:name="CO2"/>
      <w:r w:rsidRPr="00E62863">
        <w:rPr>
          <w:rFonts w:eastAsia="Times New Roman"/>
          <w:b/>
          <w:szCs w:val="20"/>
          <w:lang w:val="fr-FR" w:eastAsia="en-GB"/>
        </w:rPr>
        <w:t>Suite donnée à la résolution législative du Parlement européen sur la proposition de règlement du Parlement européen et du Conseil modifiant le règlement (UE) 2019/1242 en ce qui concerne le renforcement des normes de performance en matière d’émission de CO</w:t>
      </w:r>
      <w:r w:rsidRPr="00E62863">
        <w:rPr>
          <w:rFonts w:eastAsia="Times New Roman"/>
          <w:b/>
          <w:szCs w:val="20"/>
          <w:vertAlign w:val="subscript"/>
          <w:lang w:val="fr-FR" w:eastAsia="en-GB"/>
        </w:rPr>
        <w:t>2</w:t>
      </w:r>
      <w:r w:rsidRPr="00E62863">
        <w:rPr>
          <w:rFonts w:eastAsia="Times New Roman"/>
          <w:b/>
          <w:szCs w:val="20"/>
          <w:lang w:val="fr-FR" w:eastAsia="en-GB"/>
        </w:rPr>
        <w:t xml:space="preserve"> pour les nouveaux véhicules lourds et intégrant des obligations de déclaration, et abrogeant le règlement (UE) 2018/956</w:t>
      </w:r>
    </w:p>
    <w:bookmarkEnd w:id="1"/>
    <w:p w:rsidR="00E62863" w:rsidRPr="00E62863" w:rsidRDefault="00E62863" w:rsidP="00E62863">
      <w:pPr>
        <w:spacing w:after="240" w:line="240" w:lineRule="atLeast"/>
        <w:ind w:left="567" w:hanging="567"/>
        <w:jc w:val="left"/>
        <w:rPr>
          <w:rFonts w:eastAsia="Times New Roman"/>
          <w:szCs w:val="20"/>
          <w:lang w:val="fr-FR" w:eastAsia="en-GB"/>
        </w:rPr>
      </w:pPr>
      <w:r w:rsidRPr="00E62863">
        <w:rPr>
          <w:rFonts w:eastAsia="Times New Roman"/>
          <w:b/>
          <w:szCs w:val="20"/>
          <w:lang w:val="fr-FR" w:eastAsia="en-GB"/>
        </w:rPr>
        <w:t>1.</w:t>
      </w:r>
      <w:r w:rsidRPr="00E62863">
        <w:rPr>
          <w:rFonts w:eastAsia="Times New Roman"/>
          <w:b/>
          <w:szCs w:val="20"/>
          <w:lang w:val="fr-FR" w:eastAsia="en-GB"/>
        </w:rPr>
        <w:tab/>
        <w:t xml:space="preserve">Rapporteur(e)(s): </w:t>
      </w:r>
      <w:r w:rsidRPr="00E62863">
        <w:rPr>
          <w:rFonts w:eastAsia="Times New Roman"/>
          <w:szCs w:val="20"/>
          <w:lang w:val="fr-FR" w:eastAsia="en-GB"/>
        </w:rPr>
        <w:t>Bas EICKHOUT (Verts/ALE/NL)</w:t>
      </w:r>
    </w:p>
    <w:p w:rsidR="00E62863" w:rsidRPr="00E62863" w:rsidRDefault="00E62863" w:rsidP="00E62863">
      <w:pPr>
        <w:spacing w:after="240" w:line="240" w:lineRule="atLeast"/>
        <w:ind w:left="567" w:hanging="567"/>
        <w:rPr>
          <w:rFonts w:eastAsia="Times New Roman"/>
          <w:szCs w:val="20"/>
          <w:lang w:val="fr-FR" w:eastAsia="en-GB"/>
        </w:rPr>
      </w:pPr>
      <w:r w:rsidRPr="00E62863">
        <w:rPr>
          <w:rFonts w:eastAsia="Times New Roman"/>
          <w:b/>
          <w:szCs w:val="20"/>
          <w:lang w:val="fr-FR" w:eastAsia="en-GB"/>
        </w:rPr>
        <w:t>2.</w:t>
      </w:r>
      <w:r w:rsidRPr="00E62863">
        <w:rPr>
          <w:rFonts w:eastAsia="Times New Roman"/>
          <w:b/>
          <w:szCs w:val="20"/>
          <w:lang w:val="fr-FR" w:eastAsia="en-GB"/>
        </w:rPr>
        <w:tab/>
        <w:t>Numéros de référence:</w:t>
      </w:r>
      <w:r w:rsidRPr="00E62863">
        <w:rPr>
          <w:rFonts w:eastAsia="Times New Roman"/>
          <w:szCs w:val="20"/>
          <w:lang w:val="fr-FR" w:eastAsia="en-GB"/>
        </w:rPr>
        <w:t xml:space="preserve"> 2023/0042 (COD) / A9-0313/2023 / P9_TA(2024)0192</w:t>
      </w:r>
    </w:p>
    <w:p w:rsidR="00E62863" w:rsidRPr="00E62863" w:rsidRDefault="00E62863" w:rsidP="00E62863">
      <w:pPr>
        <w:spacing w:after="240" w:line="240" w:lineRule="atLeast"/>
        <w:ind w:left="567" w:hanging="567"/>
        <w:jc w:val="left"/>
        <w:rPr>
          <w:rFonts w:eastAsia="Times New Roman"/>
          <w:szCs w:val="20"/>
          <w:lang w:val="fr-FR" w:eastAsia="en-GB"/>
        </w:rPr>
      </w:pPr>
      <w:r w:rsidRPr="00E62863">
        <w:rPr>
          <w:rFonts w:eastAsia="Times New Roman"/>
          <w:b/>
          <w:szCs w:val="20"/>
          <w:lang w:val="fr-FR" w:eastAsia="en-GB"/>
        </w:rPr>
        <w:t>3.</w:t>
      </w:r>
      <w:r w:rsidRPr="00E62863">
        <w:rPr>
          <w:rFonts w:eastAsia="Times New Roman"/>
          <w:b/>
          <w:szCs w:val="20"/>
          <w:lang w:val="fr-FR" w:eastAsia="en-GB"/>
        </w:rPr>
        <w:tab/>
        <w:t>Date d’adoption de la résolution:</w:t>
      </w:r>
      <w:r w:rsidRPr="00E62863">
        <w:rPr>
          <w:rFonts w:eastAsia="Times New Roman"/>
          <w:szCs w:val="20"/>
          <w:lang w:val="fr-FR" w:eastAsia="en-GB"/>
        </w:rPr>
        <w:t xml:space="preserve"> 10 avril 2024</w:t>
      </w:r>
    </w:p>
    <w:p w:rsidR="00E62863" w:rsidRPr="00E62863" w:rsidRDefault="00E62863" w:rsidP="00E62863">
      <w:pPr>
        <w:spacing w:after="240" w:line="240" w:lineRule="atLeast"/>
        <w:ind w:left="567" w:hanging="567"/>
        <w:rPr>
          <w:rFonts w:eastAsia="Times New Roman"/>
          <w:szCs w:val="20"/>
          <w:lang w:val="fr-FR" w:eastAsia="en-GB"/>
        </w:rPr>
      </w:pPr>
      <w:r w:rsidRPr="00E62863">
        <w:rPr>
          <w:rFonts w:eastAsia="Times New Roman"/>
          <w:b/>
          <w:szCs w:val="20"/>
          <w:lang w:val="fr-FR" w:eastAsia="en-GB"/>
        </w:rPr>
        <w:t>4.</w:t>
      </w:r>
      <w:r w:rsidRPr="00E62863">
        <w:rPr>
          <w:rFonts w:eastAsia="Times New Roman"/>
          <w:b/>
          <w:szCs w:val="20"/>
          <w:lang w:val="fr-FR" w:eastAsia="en-GB"/>
        </w:rPr>
        <w:tab/>
        <w:t xml:space="preserve">Base juridique: </w:t>
      </w:r>
      <w:r w:rsidRPr="00E62863">
        <w:rPr>
          <w:rFonts w:eastAsia="Times New Roman"/>
          <w:szCs w:val="20"/>
          <w:lang w:val="fr-FR" w:eastAsia="en-GB"/>
        </w:rPr>
        <w:t>article 192, paragraphe 1, du traité sur le fonctionnement de l'Union européenne</w:t>
      </w:r>
    </w:p>
    <w:p w:rsidR="00E62863" w:rsidRPr="00E62863" w:rsidRDefault="00E62863" w:rsidP="00E62863">
      <w:pPr>
        <w:spacing w:after="240" w:line="240" w:lineRule="atLeast"/>
        <w:ind w:left="567" w:hanging="567"/>
        <w:rPr>
          <w:rFonts w:eastAsia="Times New Roman"/>
          <w:lang w:val="fr-FR" w:eastAsia="en-GB"/>
        </w:rPr>
      </w:pPr>
      <w:r w:rsidRPr="00E62863">
        <w:rPr>
          <w:rFonts w:eastAsia="Times New Roman"/>
          <w:b/>
          <w:szCs w:val="20"/>
          <w:lang w:val="fr-FR" w:eastAsia="en-GB"/>
        </w:rPr>
        <w:t>5.</w:t>
      </w:r>
      <w:r w:rsidRPr="00E62863">
        <w:rPr>
          <w:rFonts w:eastAsia="Times New Roman"/>
          <w:b/>
          <w:szCs w:val="20"/>
          <w:lang w:val="fr-FR" w:eastAsia="en-GB"/>
        </w:rPr>
        <w:tab/>
        <w:t>Commission parlementaire compétente:</w:t>
      </w:r>
      <w:r w:rsidRPr="00E62863">
        <w:rPr>
          <w:rFonts w:eastAsia="Times New Roman"/>
          <w:szCs w:val="20"/>
          <w:lang w:val="fr-FR" w:eastAsia="en-GB"/>
        </w:rPr>
        <w:t xml:space="preserve"> commission de l’environnement, de la santé publique et de la sécurité alimentaire (ENVI)</w:t>
      </w:r>
    </w:p>
    <w:p w:rsidR="00E62863" w:rsidRPr="00E62863" w:rsidRDefault="00E62863" w:rsidP="00E62863">
      <w:pPr>
        <w:tabs>
          <w:tab w:val="left" w:pos="567"/>
        </w:tabs>
        <w:spacing w:after="240" w:line="276" w:lineRule="auto"/>
        <w:ind w:left="567" w:hanging="567"/>
        <w:rPr>
          <w:rFonts w:eastAsia="Times New Roman"/>
          <w:color w:val="000000"/>
          <w:lang w:val="fr-FR" w:eastAsia="en-GB"/>
        </w:rPr>
      </w:pPr>
      <w:r w:rsidRPr="00E62863">
        <w:rPr>
          <w:rFonts w:eastAsia="Times New Roman"/>
          <w:b/>
          <w:szCs w:val="20"/>
          <w:lang w:val="fr-FR" w:eastAsia="en-GB"/>
        </w:rPr>
        <w:t>6.</w:t>
      </w:r>
      <w:r w:rsidRPr="00E62863">
        <w:rPr>
          <w:rFonts w:eastAsia="Times New Roman"/>
          <w:b/>
          <w:szCs w:val="20"/>
          <w:lang w:val="fr-FR" w:eastAsia="en-GB"/>
        </w:rPr>
        <w:tab/>
        <w:t>Position de la Commission:</w:t>
      </w:r>
      <w:r w:rsidRPr="00E62863">
        <w:rPr>
          <w:rFonts w:eastAsia="Times New Roman"/>
          <w:color w:val="000000"/>
          <w:sz w:val="22"/>
          <w:szCs w:val="20"/>
          <w:lang w:val="fr-FR" w:eastAsia="en-GB"/>
        </w:rPr>
        <w:t xml:space="preserve"> </w:t>
      </w:r>
      <w:r w:rsidRPr="00E62863">
        <w:rPr>
          <w:rFonts w:eastAsia="Times New Roman"/>
          <w:color w:val="000000"/>
          <w:szCs w:val="20"/>
          <w:lang w:val="fr-FR" w:eastAsia="en-GB"/>
        </w:rPr>
        <w:t>la Commission accepte tous les amendements. En outre, la Commission a présenté la déclaration suivante:</w:t>
      </w:r>
    </w:p>
    <w:p w:rsidR="008765BE" w:rsidRDefault="00E62863" w:rsidP="00E62863">
      <w:r w:rsidRPr="00E62863">
        <w:rPr>
          <w:rFonts w:eastAsia="Times New Roman"/>
          <w:szCs w:val="20"/>
          <w:lang w:val="fr-FR" w:eastAsia="en-GB"/>
        </w:rPr>
        <w:t>«En ce qui concerne le considérant 17 relatif à l’évaluation du rôle d’une méthodologie permettant d’immatriculer les véhicules utilitaires lourds fonctionnant exclusivement avec des carburants neutres du point de vue du CO</w:t>
      </w:r>
      <w:r w:rsidRPr="00E62863">
        <w:rPr>
          <w:rFonts w:eastAsia="Times New Roman"/>
          <w:szCs w:val="20"/>
          <w:vertAlign w:val="subscript"/>
          <w:lang w:val="fr-FR" w:eastAsia="en-GB"/>
        </w:rPr>
        <w:t>2</w:t>
      </w:r>
      <w:r w:rsidRPr="00E62863">
        <w:rPr>
          <w:rFonts w:eastAsia="Times New Roman"/>
          <w:szCs w:val="20"/>
          <w:lang w:val="fr-FR" w:eastAsia="en-GB"/>
        </w:rPr>
        <w:t>, conformément au droit de l’Union et à l’objectif de neutralité climatique de l’Union, la Commission prend acte de la décision du Parlement européen et du Conseil d’inclure un tel considérant dans l’accord provisoire (qui sera soumis au vote aujourd’hui) sur la révision du règlement établissant des normes de performance en matière d’émissions de CO</w:t>
      </w:r>
      <w:r w:rsidRPr="00E62863">
        <w:rPr>
          <w:rFonts w:eastAsia="Times New Roman"/>
          <w:szCs w:val="20"/>
          <w:vertAlign w:val="subscript"/>
          <w:lang w:val="fr-FR" w:eastAsia="en-GB"/>
        </w:rPr>
        <w:t>2</w:t>
      </w:r>
      <w:r w:rsidRPr="00E62863">
        <w:rPr>
          <w:rFonts w:eastAsia="Times New Roman"/>
          <w:szCs w:val="20"/>
          <w:lang w:val="fr-FR" w:eastAsia="en-GB"/>
        </w:rPr>
        <w:t xml:space="preserve"> pour les véhicules utilitaires lourds neufs. Une fois que le Parlement et le Conseil auront adopté le règlement, au plus tard un an après son entrée en vigueur, la Commission, après consultation des parties prenantes, élaborera une méthodologie permettant d’immatriculer les véhicules utilitaires lourds fonctionnant exclusivement avec des carburants neutres du point de vue du CO</w:t>
      </w:r>
      <w:r w:rsidRPr="00E62863">
        <w:rPr>
          <w:rFonts w:eastAsia="Times New Roman"/>
          <w:szCs w:val="20"/>
          <w:vertAlign w:val="subscript"/>
          <w:lang w:val="fr-FR" w:eastAsia="en-GB"/>
        </w:rPr>
        <w:t>2</w:t>
      </w:r>
      <w:r w:rsidRPr="00E62863">
        <w:rPr>
          <w:rFonts w:eastAsia="Times New Roman"/>
          <w:szCs w:val="20"/>
          <w:lang w:val="fr-FR" w:eastAsia="en-GB"/>
        </w:rPr>
        <w:t>, conformément au droit de l’Union et à l’objectif de neutralité climatique de l’Union.»</w:t>
      </w:r>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863"/>
    <w:rsid w:val="005762E3"/>
    <w:rsid w:val="008765BE"/>
    <w:rsid w:val="00E62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7F08B-94E8-41CA-95D2-77A7D3ED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1698</Characters>
  <Application>Microsoft Office Word</Application>
  <DocSecurity>0</DocSecurity>
  <Lines>14</Lines>
  <Paragraphs>3</Paragraphs>
  <ScaleCrop>false</ScaleCrop>
  <Company>European Parliament</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2024-08-09T09:23:00Z</dcterms:created>
  <dcterms:modified xsi:type="dcterms:W3CDTF">2024-08-09T09:23:00Z</dcterms:modified>
</cp:coreProperties>
</file>