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3301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33012" w:rsidRDefault="008341A9" w:rsidP="0010095E">
            <w:pPr>
              <w:pStyle w:val="EPName"/>
            </w:pPr>
            <w:r w:rsidRPr="00733012">
              <w:t>Parlament Ewropew</w:t>
            </w:r>
          </w:p>
          <w:p w:rsidR="00751A4A" w:rsidRPr="0073301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F0E9D">
              <w:t>2019</w:t>
            </w:r>
            <w:r w:rsidRPr="00733012">
              <w:t>-</w:t>
            </w:r>
            <w:r w:rsidRPr="00DF0E9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33012" w:rsidRDefault="00187494" w:rsidP="0010095E">
            <w:pPr>
              <w:pStyle w:val="EPLogo"/>
            </w:pPr>
            <w:r w:rsidRPr="0073301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33012" w:rsidRDefault="00D058B8" w:rsidP="004C5D52">
      <w:pPr>
        <w:pStyle w:val="LineTop"/>
      </w:pPr>
    </w:p>
    <w:p w:rsidR="00680577" w:rsidRPr="00733012" w:rsidRDefault="008341A9" w:rsidP="00680577">
      <w:pPr>
        <w:pStyle w:val="EPBodyTA1"/>
      </w:pPr>
      <w:r w:rsidRPr="00733012">
        <w:t>TESTI ADOTTATI</w:t>
      </w:r>
    </w:p>
    <w:p w:rsidR="00D058B8" w:rsidRPr="00733012" w:rsidRDefault="00D058B8" w:rsidP="00D058B8">
      <w:pPr>
        <w:pStyle w:val="LineBottom"/>
      </w:pPr>
    </w:p>
    <w:p w:rsidR="008341A9" w:rsidRPr="00733012" w:rsidRDefault="008341A9" w:rsidP="008341A9">
      <w:pPr>
        <w:pStyle w:val="ATHeading1"/>
      </w:pPr>
      <w:bookmarkStart w:id="0" w:name="TANumber"/>
      <w:r w:rsidRPr="00733012">
        <w:t>P</w:t>
      </w:r>
      <w:r w:rsidRPr="00DF0E9D">
        <w:t>9</w:t>
      </w:r>
      <w:r w:rsidRPr="00733012">
        <w:t>_TA(</w:t>
      </w:r>
      <w:r w:rsidRPr="00DF0E9D">
        <w:t>2024</w:t>
      </w:r>
      <w:r w:rsidRPr="00733012">
        <w:t>)</w:t>
      </w:r>
      <w:r w:rsidRPr="00DF0E9D">
        <w:t>0</w:t>
      </w:r>
      <w:bookmarkEnd w:id="0"/>
      <w:r w:rsidR="00733012" w:rsidRPr="00DF0E9D">
        <w:t>192</w:t>
      </w:r>
    </w:p>
    <w:p w:rsidR="008341A9" w:rsidRPr="00733012" w:rsidRDefault="008341A9" w:rsidP="008341A9">
      <w:pPr>
        <w:pStyle w:val="ATHeading2"/>
      </w:pPr>
      <w:bookmarkStart w:id="1" w:name="title"/>
      <w:r w:rsidRPr="00733012">
        <w:t>Tisħiħ tal-objettivi ta’ prestazzjoni tal-emissjonijiet tas-</w:t>
      </w:r>
      <w:r w:rsidR="006644FC" w:rsidRPr="00733012">
        <w:t xml:space="preserve">CO₂ </w:t>
      </w:r>
      <w:r w:rsidRPr="00733012">
        <w:t>għal vetturi heavy-duty ġodda</w:t>
      </w:r>
      <w:bookmarkEnd w:id="1"/>
    </w:p>
    <w:p w:rsidR="008341A9" w:rsidRPr="00733012" w:rsidRDefault="008341A9" w:rsidP="008341A9">
      <w:pPr>
        <w:rPr>
          <w:i/>
          <w:vanish/>
        </w:rPr>
      </w:pPr>
      <w:r w:rsidRPr="00733012">
        <w:rPr>
          <w:i/>
        </w:rPr>
        <w:fldChar w:fldCharType="begin"/>
      </w:r>
      <w:r w:rsidRPr="00733012">
        <w:rPr>
          <w:i/>
        </w:rPr>
        <w:instrText xml:space="preserve"> TC"(</w:instrText>
      </w:r>
      <w:bookmarkStart w:id="2" w:name="DocNumber"/>
      <w:r w:rsidRPr="00733012">
        <w:rPr>
          <w:i/>
        </w:rPr>
        <w:instrText>A</w:instrText>
      </w:r>
      <w:r w:rsidRPr="00DF0E9D">
        <w:rPr>
          <w:i/>
        </w:rPr>
        <w:instrText>9</w:instrText>
      </w:r>
      <w:r w:rsidRPr="00733012">
        <w:rPr>
          <w:i/>
        </w:rPr>
        <w:instrText>-</w:instrText>
      </w:r>
      <w:r w:rsidRPr="00DF0E9D">
        <w:rPr>
          <w:i/>
        </w:rPr>
        <w:instrText>0313</w:instrText>
      </w:r>
      <w:r w:rsidRPr="00733012">
        <w:rPr>
          <w:i/>
        </w:rPr>
        <w:instrText>/</w:instrText>
      </w:r>
      <w:r w:rsidRPr="00DF0E9D">
        <w:rPr>
          <w:i/>
        </w:rPr>
        <w:instrText>2023</w:instrText>
      </w:r>
      <w:bookmarkEnd w:id="2"/>
      <w:r w:rsidRPr="00733012">
        <w:rPr>
          <w:i/>
        </w:rPr>
        <w:instrText xml:space="preserve"> - Rapporteur: Bas Eickhout)"\l</w:instrText>
      </w:r>
      <w:r w:rsidRPr="00DF0E9D">
        <w:rPr>
          <w:i/>
        </w:rPr>
        <w:instrText>3</w:instrText>
      </w:r>
      <w:r w:rsidRPr="00733012">
        <w:rPr>
          <w:i/>
        </w:rPr>
        <w:instrText xml:space="preserve"> \n&gt; \* MERGEFORMAT </w:instrText>
      </w:r>
      <w:r w:rsidRPr="00733012">
        <w:rPr>
          <w:i/>
        </w:rPr>
        <w:fldChar w:fldCharType="end"/>
      </w:r>
    </w:p>
    <w:p w:rsidR="008341A9" w:rsidRPr="00733012" w:rsidRDefault="008341A9" w:rsidP="008341A9">
      <w:pPr>
        <w:rPr>
          <w:vanish/>
        </w:rPr>
      </w:pPr>
      <w:bookmarkStart w:id="3" w:name="Commission"/>
      <w:r w:rsidRPr="00733012">
        <w:rPr>
          <w:vanish/>
        </w:rPr>
        <w:t>Kumitat għall-Ambjent, is-Saħħa Pubblika u s-Sikurezza tal-Ikel</w:t>
      </w:r>
      <w:bookmarkEnd w:id="3"/>
    </w:p>
    <w:p w:rsidR="008341A9" w:rsidRPr="00733012" w:rsidRDefault="008341A9" w:rsidP="008341A9">
      <w:pPr>
        <w:rPr>
          <w:vanish/>
        </w:rPr>
      </w:pPr>
      <w:bookmarkStart w:id="4" w:name="PE"/>
      <w:r w:rsidRPr="00733012">
        <w:rPr>
          <w:vanish/>
        </w:rPr>
        <w:t>PE</w:t>
      </w:r>
      <w:r w:rsidRPr="00DF0E9D">
        <w:rPr>
          <w:vanish/>
        </w:rPr>
        <w:t>746</w:t>
      </w:r>
      <w:r w:rsidRPr="00733012">
        <w:rPr>
          <w:vanish/>
        </w:rPr>
        <w:t>.</w:t>
      </w:r>
      <w:r w:rsidRPr="00DF0E9D">
        <w:rPr>
          <w:vanish/>
        </w:rPr>
        <w:t>858</w:t>
      </w:r>
      <w:bookmarkEnd w:id="4"/>
    </w:p>
    <w:p w:rsidR="008341A9" w:rsidRPr="00733012" w:rsidRDefault="008341A9" w:rsidP="008341A9">
      <w:pPr>
        <w:pStyle w:val="ATHeading3"/>
      </w:pPr>
      <w:bookmarkStart w:id="5" w:name="Sujet"/>
      <w:r w:rsidRPr="00733012">
        <w:t>Riżoluzzjoni leġiżlattiva tal-Parlament Ewropew tal-</w:t>
      </w:r>
      <w:r w:rsidRPr="00DF0E9D">
        <w:t>1</w:t>
      </w:r>
      <w:r w:rsidR="0007323E" w:rsidRPr="00DF0E9D">
        <w:t>0</w:t>
      </w:r>
      <w:r w:rsidRPr="00733012">
        <w:t xml:space="preserve"> ta' April </w:t>
      </w:r>
      <w:r w:rsidRPr="00DF0E9D">
        <w:t>2024</w:t>
      </w:r>
      <w:r w:rsidRPr="00733012">
        <w:t xml:space="preserve"> dwar il-proposta għal regolament tal-Parlament Ewropew u tal-Kunsill li jemenda r-Regolament (UE) </w:t>
      </w:r>
      <w:r w:rsidRPr="00DF0E9D">
        <w:t>2019</w:t>
      </w:r>
      <w:r w:rsidRPr="00733012">
        <w:t>/</w:t>
      </w:r>
      <w:r w:rsidRPr="00DF0E9D">
        <w:t>1242</w:t>
      </w:r>
      <w:r w:rsidRPr="00733012">
        <w:t xml:space="preserve"> fir-rigward tat-tisħiħ tal-istandards ta’ prestazzjoni tal-emissjonijiet tas-CO₂ għal vetturi heavy-duty ġodda u l-integrazzjoni tal-obbligi ta’ rapportar, u li jħassar ir-Regolament (UE) </w:t>
      </w:r>
      <w:r w:rsidRPr="00DF0E9D">
        <w:t>2018</w:t>
      </w:r>
      <w:r w:rsidRPr="00733012">
        <w:t>/</w:t>
      </w:r>
      <w:r w:rsidRPr="00DF0E9D">
        <w:t>956</w:t>
      </w:r>
      <w:bookmarkEnd w:id="5"/>
      <w:r w:rsidRPr="00733012">
        <w:t xml:space="preserve"> </w:t>
      </w:r>
      <w:bookmarkStart w:id="6" w:name="References"/>
      <w:r w:rsidRPr="00733012">
        <w:t>(COM(</w:t>
      </w:r>
      <w:r w:rsidRPr="00DF0E9D">
        <w:t>2023</w:t>
      </w:r>
      <w:r w:rsidRPr="00733012">
        <w:t>)</w:t>
      </w:r>
      <w:r w:rsidRPr="00DF0E9D">
        <w:t>0088</w:t>
      </w:r>
      <w:r w:rsidRPr="00733012">
        <w:t>) – C</w:t>
      </w:r>
      <w:r w:rsidRPr="00DF0E9D">
        <w:t>9</w:t>
      </w:r>
      <w:r w:rsidRPr="00733012">
        <w:t>-</w:t>
      </w:r>
      <w:r w:rsidRPr="00DF0E9D">
        <w:t>0025</w:t>
      </w:r>
      <w:r w:rsidRPr="00733012">
        <w:t>/</w:t>
      </w:r>
      <w:r w:rsidRPr="00DF0E9D">
        <w:t>2023</w:t>
      </w:r>
      <w:r w:rsidRPr="00733012">
        <w:t xml:space="preserve"> – </w:t>
      </w:r>
      <w:r w:rsidRPr="00DF0E9D">
        <w:t>2023</w:t>
      </w:r>
      <w:r w:rsidRPr="00733012">
        <w:t>/</w:t>
      </w:r>
      <w:r w:rsidRPr="00DF0E9D">
        <w:t>0042</w:t>
      </w:r>
      <w:r w:rsidRPr="00733012">
        <w:t>(COD))</w:t>
      </w:r>
      <w:bookmarkEnd w:id="6"/>
    </w:p>
    <w:p w:rsidR="008341A9" w:rsidRPr="00733012" w:rsidRDefault="008341A9" w:rsidP="008341A9"/>
    <w:p w:rsidR="002E553F" w:rsidRPr="00733012" w:rsidRDefault="002E553F" w:rsidP="002E553F">
      <w:pPr>
        <w:tabs>
          <w:tab w:val="left" w:pos="-774"/>
          <w:tab w:val="left" w:pos="-114"/>
          <w:tab w:val="left" w:pos="283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line="216" w:lineRule="auto"/>
      </w:pPr>
      <w:bookmarkStart w:id="7" w:name="TextBodyBegin"/>
      <w:bookmarkEnd w:id="7"/>
      <w:r w:rsidRPr="00733012">
        <w:rPr>
          <w:b/>
        </w:rPr>
        <w:t>(Proċedura leġiżlattiva ordinarja: l-ewwel qari)</w:t>
      </w:r>
    </w:p>
    <w:p w:rsidR="002E553F" w:rsidRPr="00733012" w:rsidRDefault="002E553F" w:rsidP="002E553F">
      <w:pPr>
        <w:tabs>
          <w:tab w:val="left" w:pos="-774"/>
          <w:tab w:val="left" w:pos="-114"/>
          <w:tab w:val="left" w:pos="283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480" w:after="240" w:line="216" w:lineRule="auto"/>
      </w:pPr>
      <w:r w:rsidRPr="00733012">
        <w:rPr>
          <w:i/>
        </w:rPr>
        <w:t>Il-Parlament Ewropew</w:t>
      </w:r>
      <w:r w:rsidRPr="00733012">
        <w:t>,</w:t>
      </w:r>
    </w:p>
    <w:p w:rsidR="002E553F" w:rsidRPr="00733012" w:rsidRDefault="002E553F" w:rsidP="002E553F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240" w:after="120"/>
        <w:ind w:left="567" w:hanging="567"/>
      </w:pPr>
      <w:r w:rsidRPr="00733012">
        <w:t>–</w:t>
      </w:r>
      <w:r w:rsidRPr="00733012">
        <w:tab/>
        <w:t>wara li kkunsidra l-proposta tal-Kummissjoni lill-Parlament Ewropew u lill-Kunsill (COM(</w:t>
      </w:r>
      <w:r w:rsidRPr="00DF0E9D">
        <w:t>2023</w:t>
      </w:r>
      <w:r w:rsidRPr="00733012">
        <w:t>)</w:t>
      </w:r>
      <w:r w:rsidRPr="00DF0E9D">
        <w:t>0088</w:t>
      </w:r>
      <w:r w:rsidRPr="00733012">
        <w:t>),</w:t>
      </w:r>
    </w:p>
    <w:p w:rsidR="002E553F" w:rsidRPr="00733012" w:rsidRDefault="002E553F" w:rsidP="002E553F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240" w:after="120"/>
        <w:ind w:left="567" w:hanging="567"/>
      </w:pPr>
      <w:r w:rsidRPr="00733012">
        <w:t>–</w:t>
      </w:r>
      <w:r w:rsidRPr="00733012">
        <w:tab/>
        <w:t>wara li kkunsidra l-Artikolu </w:t>
      </w:r>
      <w:r w:rsidRPr="00DF0E9D">
        <w:t>294</w:t>
      </w:r>
      <w:r w:rsidRPr="00733012">
        <w:t>(</w:t>
      </w:r>
      <w:r w:rsidRPr="00DF0E9D">
        <w:t>2</w:t>
      </w:r>
      <w:r w:rsidRPr="00733012">
        <w:t xml:space="preserve">) u l-Artikolu </w:t>
      </w:r>
      <w:r w:rsidRPr="00DF0E9D">
        <w:t>192</w:t>
      </w:r>
      <w:r w:rsidRPr="00733012">
        <w:t>(</w:t>
      </w:r>
      <w:r w:rsidRPr="00DF0E9D">
        <w:t>1</w:t>
      </w:r>
      <w:r w:rsidRPr="00733012">
        <w:t>) tat-Trattat dwar il-Funzjonament tal-Unjoni Ewropea, skont liema artikoli l-Kummissjoni ppreżentat il-proposta lill-Parlament (C</w:t>
      </w:r>
      <w:r w:rsidRPr="00DF0E9D">
        <w:t>9</w:t>
      </w:r>
      <w:r w:rsidRPr="00733012">
        <w:noBreakHyphen/>
      </w:r>
      <w:r w:rsidRPr="00DF0E9D">
        <w:t>0025</w:t>
      </w:r>
      <w:r w:rsidRPr="00733012">
        <w:t>/</w:t>
      </w:r>
      <w:r w:rsidRPr="00DF0E9D">
        <w:t>2023</w:t>
      </w:r>
      <w:r w:rsidRPr="00733012">
        <w:t>),</w:t>
      </w:r>
    </w:p>
    <w:p w:rsidR="002E553F" w:rsidRPr="00733012" w:rsidRDefault="002E553F" w:rsidP="002E553F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240" w:after="120"/>
        <w:ind w:left="567" w:hanging="567"/>
      </w:pPr>
      <w:r w:rsidRPr="00733012">
        <w:t>–</w:t>
      </w:r>
      <w:r w:rsidRPr="00733012">
        <w:tab/>
        <w:t xml:space="preserve">wara li kkunsidra l-opinjoni motivata ppreżentata mill-Kamra tad-Deputati Taljani u s-Senat Taljan, fil-qafas tal-Protokoll Nru </w:t>
      </w:r>
      <w:r w:rsidRPr="00DF0E9D">
        <w:t>2</w:t>
      </w:r>
      <w:r w:rsidRPr="00733012">
        <w:t xml:space="preserve"> dwar l-applikazzjoni tal-prinċipji ta' sussidjarjetà u proporzjonalità li tiddikjara li l-abbozz ta' att leġiżlattiv ma jimxix mal-prinċipju ta' sussidjarjetà,</w:t>
      </w:r>
    </w:p>
    <w:p w:rsidR="002E553F" w:rsidRPr="00733012" w:rsidRDefault="002E553F" w:rsidP="002E553F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240" w:after="120"/>
        <w:ind w:left="567" w:hanging="567"/>
      </w:pPr>
      <w:r w:rsidRPr="00733012">
        <w:t>–</w:t>
      </w:r>
      <w:r w:rsidRPr="00733012">
        <w:tab/>
        <w:t>wara li kkunsidra l-opinjoni tal-Kumitat Ekonomiku u Soċjali Ewropew tat-</w:t>
      </w:r>
      <w:r w:rsidRPr="00DF0E9D">
        <w:t>12</w:t>
      </w:r>
      <w:r w:rsidRPr="00733012">
        <w:t xml:space="preserve"> ta’ Lulju </w:t>
      </w:r>
      <w:r w:rsidRPr="00DF0E9D">
        <w:t>2023</w:t>
      </w:r>
      <w:r w:rsidRPr="00733012">
        <w:rPr>
          <w:rStyle w:val="FootnoteReference"/>
        </w:rPr>
        <w:footnoteReference w:id="1"/>
      </w:r>
      <w:r w:rsidRPr="00733012">
        <w:t>,</w:t>
      </w:r>
    </w:p>
    <w:p w:rsidR="002E553F" w:rsidRPr="00733012" w:rsidRDefault="002E553F" w:rsidP="002E553F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240" w:after="120"/>
        <w:ind w:left="567" w:hanging="567"/>
      </w:pPr>
      <w:r w:rsidRPr="00733012">
        <w:t>–</w:t>
      </w:r>
      <w:r w:rsidRPr="00733012">
        <w:tab/>
        <w:t>wara li kkonsulta l-Kumitat tar-Reġjuni,</w:t>
      </w:r>
    </w:p>
    <w:p w:rsidR="00662A5E" w:rsidRPr="00733012" w:rsidRDefault="00662A5E" w:rsidP="00662A5E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240" w:after="120"/>
        <w:ind w:left="567" w:hanging="567"/>
      </w:pPr>
      <w:r w:rsidRPr="00733012">
        <w:t>–</w:t>
      </w:r>
      <w:r w:rsidRPr="00733012">
        <w:tab/>
        <w:t>wara li kkunsidra l-ftehim proviżorju approvat mill-kumitat responsabbli fis-sens tal-Artikolu </w:t>
      </w:r>
      <w:r w:rsidRPr="00DF0E9D">
        <w:t>74</w:t>
      </w:r>
      <w:r w:rsidRPr="00733012">
        <w:t>(</w:t>
      </w:r>
      <w:r w:rsidRPr="00DF0E9D">
        <w:t>4</w:t>
      </w:r>
      <w:r w:rsidRPr="00733012">
        <w:t>) tar-Regoli ta' Proċedura tiegħu u l-impenn meħud mir-rappreżentant tal-Kunsill, permezz tal-ittra tad-</w:t>
      </w:r>
      <w:r w:rsidRPr="00DF0E9D">
        <w:t>9</w:t>
      </w:r>
      <w:r w:rsidRPr="00733012">
        <w:t xml:space="preserve"> ta’ Frar </w:t>
      </w:r>
      <w:r w:rsidRPr="00DF0E9D">
        <w:t>2024</w:t>
      </w:r>
      <w:r w:rsidRPr="00733012">
        <w:t>, li japprova l-pożizzjoni tal-Parlament, skont l-Artikolu </w:t>
      </w:r>
      <w:r w:rsidRPr="00DF0E9D">
        <w:t>294</w:t>
      </w:r>
      <w:r w:rsidRPr="00733012">
        <w:t>(</w:t>
      </w:r>
      <w:r w:rsidRPr="00DF0E9D">
        <w:t>4</w:t>
      </w:r>
      <w:r w:rsidRPr="00733012">
        <w:t>) tat-Trattat dwar il-Funzjonament tal-Unjoni Ewropea,</w:t>
      </w:r>
    </w:p>
    <w:p w:rsidR="002E553F" w:rsidRPr="00733012" w:rsidRDefault="002E553F" w:rsidP="002E553F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240" w:after="120"/>
        <w:ind w:left="567" w:hanging="567"/>
      </w:pPr>
      <w:r w:rsidRPr="00733012">
        <w:lastRenderedPageBreak/>
        <w:t>–</w:t>
      </w:r>
      <w:r w:rsidRPr="00733012">
        <w:tab/>
        <w:t>wara li kkunsidra l-Artikol</w:t>
      </w:r>
      <w:r w:rsidR="00662A5E" w:rsidRPr="00733012">
        <w:t>u</w:t>
      </w:r>
      <w:r w:rsidRPr="00733012">
        <w:t xml:space="preserve"> </w:t>
      </w:r>
      <w:r w:rsidRPr="00DF0E9D">
        <w:t>59</w:t>
      </w:r>
      <w:r w:rsidRPr="00733012">
        <w:t xml:space="preserve"> tar-Regoli ta’ Proċedura tiegħu,</w:t>
      </w:r>
    </w:p>
    <w:p w:rsidR="002E553F" w:rsidRPr="00733012" w:rsidRDefault="002E553F" w:rsidP="002E553F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240" w:after="120"/>
        <w:ind w:left="567" w:hanging="567"/>
      </w:pPr>
      <w:r w:rsidRPr="00733012">
        <w:t>–</w:t>
      </w:r>
      <w:r w:rsidRPr="00733012">
        <w:tab/>
        <w:t>wara li kkunsidra l-opinjonijiet tal-Kumitat għat-Trasport u t-Turiżmu tal-Kumitat għall-Industrija, ir-Riċerka u l-Enerġija,</w:t>
      </w:r>
    </w:p>
    <w:p w:rsidR="002E553F" w:rsidRPr="00733012" w:rsidRDefault="002E553F" w:rsidP="002E553F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240" w:after="120"/>
        <w:ind w:left="567" w:hanging="567"/>
      </w:pPr>
      <w:r w:rsidRPr="00733012">
        <w:t>–</w:t>
      </w:r>
      <w:r w:rsidRPr="00733012">
        <w:tab/>
        <w:t>wara li kkunsidra r-rapport tal- Kumitat għall-Ambjent, is-Saħħa Pubblika u s-Sikurezza tal-Ikel (A</w:t>
      </w:r>
      <w:r w:rsidRPr="00DF0E9D">
        <w:t>9</w:t>
      </w:r>
      <w:r w:rsidRPr="00733012">
        <w:t>-</w:t>
      </w:r>
      <w:r w:rsidRPr="00DF0E9D">
        <w:t>0313</w:t>
      </w:r>
      <w:r w:rsidRPr="00733012">
        <w:t>/</w:t>
      </w:r>
      <w:r w:rsidRPr="00DF0E9D">
        <w:t>2023</w:t>
      </w:r>
      <w:r w:rsidRPr="00733012">
        <w:t>),</w:t>
      </w:r>
    </w:p>
    <w:p w:rsidR="002E553F" w:rsidRPr="00733012" w:rsidRDefault="002E553F" w:rsidP="002E553F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240" w:after="120"/>
        <w:ind w:left="567" w:hanging="567"/>
      </w:pPr>
      <w:r w:rsidRPr="00DF0E9D">
        <w:t>1</w:t>
      </w:r>
      <w:r w:rsidRPr="00733012">
        <w:t>.</w:t>
      </w:r>
      <w:r w:rsidRPr="00733012">
        <w:tab/>
        <w:t>Jadotta l-pożizzjoni fl-ewwel qari li tidher hawn taħt</w:t>
      </w:r>
      <w:r w:rsidR="00662A5E" w:rsidRPr="00733012">
        <w:rPr>
          <w:rStyle w:val="FootnoteReference"/>
        </w:rPr>
        <w:footnoteReference w:id="2"/>
      </w:r>
      <w:r w:rsidRPr="00733012">
        <w:t>;</w:t>
      </w:r>
    </w:p>
    <w:p w:rsidR="002E553F" w:rsidRPr="00733012" w:rsidRDefault="00662A5E" w:rsidP="002E553F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240" w:after="120"/>
        <w:ind w:left="567" w:hanging="567"/>
      </w:pPr>
      <w:r w:rsidRPr="00DF0E9D">
        <w:t>2</w:t>
      </w:r>
      <w:r w:rsidR="002E553F" w:rsidRPr="00733012">
        <w:t>.</w:t>
      </w:r>
      <w:r w:rsidR="002E553F" w:rsidRPr="00733012">
        <w:tab/>
        <w:t>Jitlob lill-Kummissjoni terġa' tirreferi l-kwistjoni lill-Parlament jekk tibdel il-proposta tagħha, temendaha b'mod sustanzjali jew ikollha l-ħsieb li temendaha b'mod sustanzjali;</w:t>
      </w:r>
    </w:p>
    <w:p w:rsidR="00662A5E" w:rsidRPr="00733012" w:rsidRDefault="00662A5E" w:rsidP="002E553F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240" w:after="120"/>
        <w:ind w:left="567" w:hanging="567"/>
        <w:sectPr w:rsidR="00662A5E" w:rsidRPr="00733012" w:rsidSect="00DC441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DF0E9D">
        <w:t>3</w:t>
      </w:r>
      <w:r w:rsidR="002E553F" w:rsidRPr="00733012">
        <w:t>.</w:t>
      </w:r>
      <w:r w:rsidR="002E553F" w:rsidRPr="00733012">
        <w:tab/>
        <w:t>Jagħti istruzzjonijiet lill-President tiegħu biex tgħaddi l-pożizzjoni tal-Parlament lill-Kunsill u lill-Kummissjoni kif ukoll lill-parlamenti nazzjonali.</w:t>
      </w:r>
    </w:p>
    <w:p w:rsidR="00E365E1" w:rsidRPr="00733012" w:rsidRDefault="00662A5E" w:rsidP="00662A5E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240" w:after="120"/>
        <w:ind w:left="567" w:hanging="567"/>
        <w:rPr>
          <w:rFonts w:eastAsia="Calibri"/>
          <w:b/>
          <w:bCs/>
          <w:color w:val="000000"/>
          <w:szCs w:val="24"/>
        </w:rPr>
      </w:pPr>
      <w:r w:rsidRPr="00733012">
        <w:rPr>
          <w:rFonts w:eastAsia="Calibri"/>
          <w:b/>
          <w:bCs/>
          <w:color w:val="000000"/>
          <w:szCs w:val="24"/>
        </w:rPr>
        <w:lastRenderedPageBreak/>
        <w:t>P</w:t>
      </w:r>
      <w:r w:rsidRPr="00DF0E9D">
        <w:rPr>
          <w:rFonts w:eastAsia="Calibri"/>
          <w:b/>
          <w:bCs/>
          <w:color w:val="000000"/>
          <w:szCs w:val="24"/>
        </w:rPr>
        <w:t>9</w:t>
      </w:r>
      <w:r w:rsidRPr="00733012">
        <w:rPr>
          <w:rFonts w:eastAsia="Calibri"/>
          <w:b/>
          <w:bCs/>
          <w:color w:val="000000"/>
          <w:szCs w:val="24"/>
        </w:rPr>
        <w:t>_TC</w:t>
      </w:r>
      <w:r w:rsidRPr="00DF0E9D">
        <w:rPr>
          <w:rFonts w:eastAsia="Calibri"/>
          <w:b/>
          <w:bCs/>
          <w:color w:val="000000"/>
          <w:szCs w:val="24"/>
        </w:rPr>
        <w:t>1</w:t>
      </w:r>
      <w:r w:rsidRPr="00733012">
        <w:rPr>
          <w:rFonts w:eastAsia="Calibri"/>
          <w:b/>
          <w:bCs/>
          <w:color w:val="000000"/>
          <w:szCs w:val="24"/>
        </w:rPr>
        <w:t>-COD(</w:t>
      </w:r>
      <w:r w:rsidRPr="00DF0E9D">
        <w:rPr>
          <w:rFonts w:eastAsia="Calibri"/>
          <w:b/>
          <w:bCs/>
          <w:color w:val="000000"/>
          <w:szCs w:val="24"/>
        </w:rPr>
        <w:t>2023</w:t>
      </w:r>
      <w:r w:rsidRPr="00733012">
        <w:rPr>
          <w:rFonts w:eastAsia="Calibri"/>
          <w:b/>
          <w:bCs/>
          <w:color w:val="000000"/>
          <w:szCs w:val="24"/>
        </w:rPr>
        <w:t>)</w:t>
      </w:r>
      <w:r w:rsidRPr="00DF0E9D">
        <w:rPr>
          <w:rFonts w:eastAsia="Calibri"/>
          <w:b/>
          <w:bCs/>
          <w:color w:val="000000"/>
          <w:szCs w:val="24"/>
        </w:rPr>
        <w:t>0042</w:t>
      </w:r>
    </w:p>
    <w:p w:rsidR="00662A5E" w:rsidRDefault="00662A5E" w:rsidP="00662A5E">
      <w:pPr>
        <w:tabs>
          <w:tab w:val="left" w:pos="-774"/>
          <w:tab w:val="left" w:pos="-114"/>
          <w:tab w:val="left" w:pos="0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240" w:after="120"/>
        <w:rPr>
          <w:b/>
        </w:rPr>
      </w:pPr>
      <w:r w:rsidRPr="00733012">
        <w:rPr>
          <w:b/>
          <w:bCs/>
        </w:rPr>
        <w:t>Pożizzjoni tal-Parlament Ewropew adottata fl-ewwel qari tal-</w:t>
      </w:r>
      <w:r w:rsidRPr="00DF0E9D">
        <w:rPr>
          <w:b/>
          <w:bCs/>
        </w:rPr>
        <w:t>10</w:t>
      </w:r>
      <w:r w:rsidRPr="00733012">
        <w:rPr>
          <w:b/>
        </w:rPr>
        <w:t xml:space="preserve"> </w:t>
      </w:r>
      <w:r w:rsidRPr="00733012">
        <w:rPr>
          <w:b/>
          <w:bCs/>
        </w:rPr>
        <w:t xml:space="preserve">ta' April </w:t>
      </w:r>
      <w:r w:rsidRPr="00DF0E9D">
        <w:rPr>
          <w:b/>
          <w:bCs/>
        </w:rPr>
        <w:t>2024</w:t>
      </w:r>
      <w:r w:rsidRPr="00733012">
        <w:rPr>
          <w:b/>
          <w:bCs/>
        </w:rPr>
        <w:t xml:space="preserve"> bil-ħsieb tal-adozzjoni tar-Regolament (UE) </w:t>
      </w:r>
      <w:r w:rsidRPr="00DF0E9D">
        <w:rPr>
          <w:b/>
          <w:bCs/>
        </w:rPr>
        <w:t>2024</w:t>
      </w:r>
      <w:r w:rsidRPr="00733012">
        <w:rPr>
          <w:b/>
          <w:bCs/>
        </w:rPr>
        <w:t xml:space="preserve">/... </w:t>
      </w:r>
      <w:r w:rsidRPr="00733012">
        <w:rPr>
          <w:b/>
        </w:rPr>
        <w:t xml:space="preserve">tal-Parlament Ewropew u tal-Kunsill li jemenda r-Regolament (UE) </w:t>
      </w:r>
      <w:r w:rsidRPr="00DF0E9D">
        <w:rPr>
          <w:b/>
        </w:rPr>
        <w:t>2019</w:t>
      </w:r>
      <w:r w:rsidRPr="00733012">
        <w:rPr>
          <w:b/>
        </w:rPr>
        <w:t>/</w:t>
      </w:r>
      <w:r w:rsidRPr="00DF0E9D">
        <w:rPr>
          <w:b/>
        </w:rPr>
        <w:t>1242</w:t>
      </w:r>
      <w:r w:rsidRPr="00733012">
        <w:rPr>
          <w:b/>
        </w:rPr>
        <w:t xml:space="preserve"> fir-rigward tat-tisħiħ tal-istandards ta’ prestazzjoni tal-emissjonijiet tas-CO₂ għal vetturi heavy-duty ġodda u l-integrazzjoni tal-obbligi ta’ rapportar, </w:t>
      </w:r>
      <w:r w:rsidR="00746181" w:rsidRPr="00746181">
        <w:rPr>
          <w:b/>
        </w:rPr>
        <w:t xml:space="preserve">li jemenda r-Regolament (UE) </w:t>
      </w:r>
      <w:r w:rsidR="00746181" w:rsidRPr="00DF0E9D">
        <w:rPr>
          <w:b/>
        </w:rPr>
        <w:t>2018</w:t>
      </w:r>
      <w:r w:rsidR="00746181" w:rsidRPr="00746181">
        <w:rPr>
          <w:b/>
        </w:rPr>
        <w:t>/</w:t>
      </w:r>
      <w:r w:rsidR="00746181" w:rsidRPr="00DF0E9D">
        <w:rPr>
          <w:b/>
        </w:rPr>
        <w:t>858</w:t>
      </w:r>
      <w:r w:rsidR="00746181" w:rsidRPr="00746181">
        <w:rPr>
          <w:b/>
        </w:rPr>
        <w:t xml:space="preserve"> </w:t>
      </w:r>
      <w:r w:rsidRPr="00733012">
        <w:rPr>
          <w:b/>
        </w:rPr>
        <w:t xml:space="preserve">u li jħassar ir-Regolament (UE) </w:t>
      </w:r>
      <w:r w:rsidRPr="00DF0E9D">
        <w:rPr>
          <w:b/>
        </w:rPr>
        <w:t>2018</w:t>
      </w:r>
      <w:r w:rsidRPr="00733012">
        <w:rPr>
          <w:b/>
        </w:rPr>
        <w:t>/</w:t>
      </w:r>
      <w:r w:rsidRPr="00DF0E9D">
        <w:rPr>
          <w:b/>
        </w:rPr>
        <w:t>956</w:t>
      </w:r>
      <w:r w:rsidRPr="00733012">
        <w:rPr>
          <w:b/>
        </w:rPr>
        <w:t xml:space="preserve"> </w:t>
      </w:r>
    </w:p>
    <w:p w:rsidR="009B36D1" w:rsidRPr="009B36D1" w:rsidRDefault="009B36D1" w:rsidP="009B36D1">
      <w:pPr>
        <w:spacing w:before="240" w:after="120"/>
        <w:rPr>
          <w:i/>
        </w:rPr>
      </w:pPr>
      <w:r w:rsidRPr="009B36D1">
        <w:rPr>
          <w:i/>
        </w:rPr>
        <w:t xml:space="preserve">(Peress li ntlaħaq ftehim bejn il-Parlament u l-Kunsill, il-pożizzjoni tal-Parlament taqbel mal-att leġiżlattiv finali, </w:t>
      </w:r>
      <w:r w:rsidRPr="009B36D1">
        <w:rPr>
          <w:i/>
        </w:rPr>
        <w:t>ir-Regolament (UE) 2024/1610</w:t>
      </w:r>
      <w:r w:rsidRPr="009B36D1">
        <w:rPr>
          <w:i/>
        </w:rPr>
        <w:t>.)</w:t>
      </w:r>
      <w:bookmarkStart w:id="8" w:name="_GoBack"/>
      <w:bookmarkEnd w:id="8"/>
    </w:p>
    <w:sectPr w:rsidR="009B36D1" w:rsidRPr="009B36D1" w:rsidSect="00DC441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A5E" w:rsidRPr="00DC4414" w:rsidRDefault="00662A5E">
      <w:r w:rsidRPr="00DC4414">
        <w:separator/>
      </w:r>
    </w:p>
  </w:endnote>
  <w:endnote w:type="continuationSeparator" w:id="0">
    <w:p w:rsidR="00662A5E" w:rsidRPr="00DC4414" w:rsidRDefault="00662A5E">
      <w:r w:rsidRPr="00DC44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A5E" w:rsidRPr="00DC4414" w:rsidRDefault="00662A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A5E" w:rsidRPr="00DC4414" w:rsidRDefault="00662A5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A5E" w:rsidRPr="00DC4414" w:rsidRDefault="00662A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A5E" w:rsidRPr="00DC4414" w:rsidRDefault="00662A5E">
      <w:r w:rsidRPr="00DC4414">
        <w:separator/>
      </w:r>
    </w:p>
  </w:footnote>
  <w:footnote w:type="continuationSeparator" w:id="0">
    <w:p w:rsidR="00662A5E" w:rsidRPr="00DC4414" w:rsidRDefault="00662A5E">
      <w:r w:rsidRPr="00DC4414">
        <w:continuationSeparator/>
      </w:r>
    </w:p>
  </w:footnote>
  <w:footnote w:id="1">
    <w:p w:rsidR="00662A5E" w:rsidRPr="00733012" w:rsidRDefault="00662A5E" w:rsidP="00DC4414">
      <w:pPr>
        <w:pStyle w:val="FootnoteText"/>
        <w:ind w:left="567" w:hanging="567"/>
        <w:rPr>
          <w:sz w:val="24"/>
          <w:lang w:val="mt-MT"/>
        </w:rPr>
      </w:pPr>
      <w:r w:rsidRPr="00733012">
        <w:rPr>
          <w:rStyle w:val="FootnoteReference"/>
          <w:sz w:val="24"/>
          <w:lang w:val="mt-MT"/>
        </w:rPr>
        <w:footnoteRef/>
      </w:r>
      <w:r w:rsidRPr="00733012">
        <w:rPr>
          <w:sz w:val="24"/>
          <w:lang w:val="mt-MT"/>
        </w:rPr>
        <w:t xml:space="preserve"> </w:t>
      </w:r>
      <w:r w:rsidRPr="00733012">
        <w:rPr>
          <w:sz w:val="24"/>
          <w:lang w:val="mt-MT"/>
        </w:rPr>
        <w:tab/>
        <w:t xml:space="preserve">ĠU C </w:t>
      </w:r>
      <w:r w:rsidRPr="00DF0E9D">
        <w:rPr>
          <w:sz w:val="24"/>
          <w:lang w:val="mt-MT"/>
        </w:rPr>
        <w:t>349</w:t>
      </w:r>
      <w:r w:rsidRPr="00733012">
        <w:rPr>
          <w:sz w:val="24"/>
          <w:lang w:val="mt-MT"/>
        </w:rPr>
        <w:t xml:space="preserve">, </w:t>
      </w:r>
      <w:r w:rsidRPr="00DF0E9D">
        <w:rPr>
          <w:sz w:val="24"/>
          <w:lang w:val="mt-MT"/>
        </w:rPr>
        <w:t>29</w:t>
      </w:r>
      <w:r w:rsidRPr="00733012">
        <w:rPr>
          <w:sz w:val="24"/>
          <w:lang w:val="mt-MT"/>
        </w:rPr>
        <w:t>.</w:t>
      </w:r>
      <w:r w:rsidRPr="00DF0E9D">
        <w:rPr>
          <w:sz w:val="24"/>
          <w:lang w:val="mt-MT"/>
        </w:rPr>
        <w:t>9</w:t>
      </w:r>
      <w:r w:rsidRPr="00733012">
        <w:rPr>
          <w:sz w:val="24"/>
          <w:lang w:val="mt-MT"/>
        </w:rPr>
        <w:t>.</w:t>
      </w:r>
      <w:r w:rsidRPr="00DF0E9D">
        <w:rPr>
          <w:sz w:val="24"/>
          <w:lang w:val="mt-MT"/>
        </w:rPr>
        <w:t>2023</w:t>
      </w:r>
      <w:r w:rsidRPr="00733012">
        <w:rPr>
          <w:sz w:val="24"/>
          <w:lang w:val="mt-MT"/>
        </w:rPr>
        <w:t xml:space="preserve">, </w:t>
      </w:r>
      <w:r w:rsidR="006644FC" w:rsidRPr="00733012">
        <w:rPr>
          <w:sz w:val="24"/>
          <w:lang w:val="mt-MT"/>
        </w:rPr>
        <w:t>p</w:t>
      </w:r>
      <w:r w:rsidRPr="00733012">
        <w:rPr>
          <w:sz w:val="24"/>
          <w:lang w:val="mt-MT"/>
        </w:rPr>
        <w:t xml:space="preserve">. </w:t>
      </w:r>
      <w:r w:rsidRPr="00DF0E9D">
        <w:rPr>
          <w:sz w:val="24"/>
          <w:lang w:val="mt-MT"/>
        </w:rPr>
        <w:t>134</w:t>
      </w:r>
      <w:r w:rsidRPr="00733012">
        <w:rPr>
          <w:sz w:val="24"/>
          <w:lang w:val="mt-MT"/>
        </w:rPr>
        <w:t>.</w:t>
      </w:r>
    </w:p>
  </w:footnote>
  <w:footnote w:id="2">
    <w:p w:rsidR="00662A5E" w:rsidRPr="00733012" w:rsidRDefault="00662A5E" w:rsidP="00CA4C1D">
      <w:pPr>
        <w:pStyle w:val="FootnoteText"/>
        <w:ind w:left="567" w:hanging="567"/>
        <w:rPr>
          <w:sz w:val="24"/>
          <w:szCs w:val="24"/>
          <w:lang w:val="mt-MT"/>
        </w:rPr>
      </w:pPr>
      <w:r w:rsidRPr="00733012">
        <w:rPr>
          <w:rStyle w:val="FootnoteReference"/>
          <w:sz w:val="24"/>
          <w:szCs w:val="24"/>
        </w:rPr>
        <w:footnoteRef/>
      </w:r>
      <w:r w:rsidRPr="00733012">
        <w:rPr>
          <w:sz w:val="24"/>
          <w:szCs w:val="24"/>
          <w:lang w:val="it-IT"/>
        </w:rPr>
        <w:t xml:space="preserve"> </w:t>
      </w:r>
      <w:r w:rsidRPr="00733012">
        <w:rPr>
          <w:sz w:val="24"/>
          <w:szCs w:val="24"/>
          <w:lang w:val="it-IT"/>
        </w:rPr>
        <w:tab/>
        <w:t>Din il-pożizzjoni tissostitwixxi l-emendi adottati fil-</w:t>
      </w:r>
      <w:r w:rsidRPr="00DF0E9D">
        <w:rPr>
          <w:sz w:val="24"/>
          <w:szCs w:val="24"/>
          <w:lang w:val="it-IT"/>
        </w:rPr>
        <w:t>21</w:t>
      </w:r>
      <w:r w:rsidRPr="00733012">
        <w:rPr>
          <w:sz w:val="24"/>
          <w:szCs w:val="24"/>
          <w:lang w:val="it-IT"/>
        </w:rPr>
        <w:t xml:space="preserve"> ta’ Novembru </w:t>
      </w:r>
      <w:r w:rsidRPr="00DF0E9D">
        <w:rPr>
          <w:sz w:val="24"/>
          <w:szCs w:val="24"/>
          <w:lang w:val="it-IT"/>
        </w:rPr>
        <w:t>2023</w:t>
      </w:r>
      <w:r w:rsidRPr="00733012">
        <w:rPr>
          <w:sz w:val="24"/>
          <w:szCs w:val="24"/>
          <w:lang w:val="it-IT"/>
        </w:rPr>
        <w:t xml:space="preserve"> (Testi adottati, P</w:t>
      </w:r>
      <w:r w:rsidRPr="00DF0E9D">
        <w:rPr>
          <w:sz w:val="24"/>
          <w:szCs w:val="24"/>
          <w:lang w:val="it-IT"/>
        </w:rPr>
        <w:t>9</w:t>
      </w:r>
      <w:r w:rsidRPr="00733012">
        <w:rPr>
          <w:sz w:val="24"/>
          <w:szCs w:val="24"/>
          <w:lang w:val="it-IT"/>
        </w:rPr>
        <w:t>_TA(</w:t>
      </w:r>
      <w:r w:rsidRPr="00DF0E9D">
        <w:rPr>
          <w:sz w:val="24"/>
          <w:szCs w:val="24"/>
          <w:lang w:val="it-IT"/>
        </w:rPr>
        <w:t>2023</w:t>
      </w:r>
      <w:r w:rsidRPr="00733012">
        <w:rPr>
          <w:sz w:val="24"/>
          <w:szCs w:val="24"/>
          <w:lang w:val="it-IT"/>
        </w:rPr>
        <w:t>)</w:t>
      </w:r>
      <w:r w:rsidRPr="00DF0E9D">
        <w:rPr>
          <w:sz w:val="24"/>
          <w:szCs w:val="24"/>
          <w:lang w:val="it-IT"/>
        </w:rPr>
        <w:t>0403</w:t>
      </w:r>
      <w:r w:rsidRPr="00733012">
        <w:rPr>
          <w:sz w:val="24"/>
          <w:szCs w:val="24"/>
          <w:lang w:val="it-IT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A5E" w:rsidRPr="00DC4414" w:rsidRDefault="00662A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A5E" w:rsidRPr="00DC4414" w:rsidRDefault="00662A5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A5E" w:rsidRPr="00DC4414" w:rsidRDefault="00662A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5BB557C"/>
    <w:multiLevelType w:val="hybridMultilevel"/>
    <w:tmpl w:val="97A8720E"/>
    <w:lvl w:ilvl="0" w:tplc="C5500C2E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 w:tplc="A39E8DF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0D020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980C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C8D6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266D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52469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4249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3C6B8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F04780"/>
    <w:multiLevelType w:val="hybridMultilevel"/>
    <w:tmpl w:val="6A68B088"/>
    <w:lvl w:ilvl="0" w:tplc="D20A425C">
      <w:start w:val="1"/>
      <w:numFmt w:val="bullet"/>
      <w:lvlText w:val="‒"/>
      <w:lvlJc w:val="left"/>
      <w:pPr>
        <w:ind w:left="1570" w:hanging="360"/>
      </w:pPr>
      <w:rPr>
        <w:rFonts w:ascii="Arial" w:hAnsi="Arial" w:hint="default"/>
      </w:rPr>
    </w:lvl>
    <w:lvl w:ilvl="1" w:tplc="14EAB7E0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A39C2222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B5227B3E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9AD8C18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B2B8E184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24CC1D38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4DF404C0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ACD4EC10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2DC10D22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30061BF5"/>
    <w:multiLevelType w:val="multilevel"/>
    <w:tmpl w:val="1DBAB0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39F944EC"/>
    <w:multiLevelType w:val="multilevel"/>
    <w:tmpl w:val="E9CA951E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8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0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B0B0635"/>
    <w:multiLevelType w:val="singleLevel"/>
    <w:tmpl w:val="017E7CEE"/>
    <w:lvl w:ilvl="0">
      <w:start w:val="1"/>
      <w:numFmt w:val="bullet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2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3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4" w15:restartNumberingAfterBreak="0">
    <w:nsid w:val="64A12FA4"/>
    <w:multiLevelType w:val="multilevel"/>
    <w:tmpl w:val="5D60B10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lang w:val="en-IE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6" w15:restartNumberingAfterBreak="0">
    <w:nsid w:val="69123630"/>
    <w:multiLevelType w:val="singleLevel"/>
    <w:tmpl w:val="1BE6CBF4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7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9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1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3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4" w15:restartNumberingAfterBreak="0">
    <w:nsid w:val="79904CA0"/>
    <w:multiLevelType w:val="singleLevel"/>
    <w:tmpl w:val="54F47DCE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6" w15:restartNumberingAfterBreak="0">
    <w:nsid w:val="7DF7373E"/>
    <w:multiLevelType w:val="hybridMultilevel"/>
    <w:tmpl w:val="E1F64F4E"/>
    <w:lvl w:ilvl="0" w:tplc="42CAC1A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D0E8F148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BC01D2C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8D5A3E9A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55246D4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81564C3A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BA6EA434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D6FAE04C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60949F92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27"/>
  </w:num>
  <w:num w:numId="4">
    <w:abstractNumId w:val="1"/>
  </w:num>
  <w:num w:numId="5">
    <w:abstractNumId w:val="28"/>
  </w:num>
  <w:num w:numId="6">
    <w:abstractNumId w:val="22"/>
  </w:num>
  <w:num w:numId="7">
    <w:abstractNumId w:val="3"/>
  </w:num>
  <w:num w:numId="8">
    <w:abstractNumId w:val="33"/>
  </w:num>
  <w:num w:numId="9">
    <w:abstractNumId w:val="35"/>
  </w:num>
  <w:num w:numId="10">
    <w:abstractNumId w:val="19"/>
  </w:num>
  <w:num w:numId="11">
    <w:abstractNumId w:val="31"/>
  </w:num>
  <w:num w:numId="12">
    <w:abstractNumId w:val="25"/>
  </w:num>
  <w:num w:numId="13">
    <w:abstractNumId w:val="17"/>
  </w:num>
  <w:num w:numId="14">
    <w:abstractNumId w:val="7"/>
  </w:num>
  <w:num w:numId="15">
    <w:abstractNumId w:val="6"/>
  </w:num>
  <w:num w:numId="16">
    <w:abstractNumId w:val="26"/>
  </w:num>
  <w:num w:numId="17">
    <w:abstractNumId w:val="34"/>
  </w:num>
  <w:num w:numId="18">
    <w:abstractNumId w:val="0"/>
  </w:num>
  <w:num w:numId="19">
    <w:abstractNumId w:val="8"/>
  </w:num>
  <w:num w:numId="20">
    <w:abstractNumId w:val="5"/>
  </w:num>
  <w:num w:numId="21">
    <w:abstractNumId w:val="9"/>
  </w:num>
  <w:num w:numId="22">
    <w:abstractNumId w:val="20"/>
  </w:num>
  <w:num w:numId="23">
    <w:abstractNumId w:val="21"/>
  </w:num>
  <w:num w:numId="24">
    <w:abstractNumId w:val="29"/>
  </w:num>
  <w:num w:numId="25">
    <w:abstractNumId w:val="23"/>
  </w:num>
  <w:num w:numId="26">
    <w:abstractNumId w:val="30"/>
  </w:num>
  <w:num w:numId="27">
    <w:abstractNumId w:val="32"/>
  </w:num>
  <w:num w:numId="28">
    <w:abstractNumId w:val="15"/>
  </w:num>
  <w:num w:numId="29">
    <w:abstractNumId w:val="12"/>
  </w:num>
  <w:num w:numId="30">
    <w:abstractNumId w:val="18"/>
  </w:num>
  <w:num w:numId="31">
    <w:abstractNumId w:val="24"/>
  </w:num>
  <w:num w:numId="32">
    <w:abstractNumId w:val="4"/>
  </w:num>
  <w:num w:numId="33">
    <w:abstractNumId w:val="10"/>
  </w:num>
  <w:num w:numId="34">
    <w:abstractNumId w:val="16"/>
  </w:num>
  <w:num w:numId="35">
    <w:abstractNumId w:val="11"/>
  </w:num>
  <w:num w:numId="36">
    <w:abstractNumId w:val="36"/>
  </w:num>
  <w:num w:numId="37">
    <w:abstractNumId w:val="1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MT"/>
    <w:docVar w:name="dvnumam" w:val="216"/>
    <w:docVar w:name="dvpe" w:val="746.858"/>
    <w:docVar w:name="dvrapporteur" w:val="Rapporteur: "/>
    <w:docVar w:name="dvstar" w:val="***I"/>
    <w:docVar w:name="dvtitre" w:val="Riżoluzzjoni leġiżlattiva tal-Parlament Ewropew tal-11 ta' April 2024 dwar il-proposta għal regolament tal-Parlament Ewropew u tal-Kunsill li jemenda r-Regolament (UE) 2019/1242 fir-rigward tat-tisħiħ tal-istandards ta’ prestazzjoni tal-emissjonijiet tas-CO₂ għal vetturi heavy-duty ġodda u l-integrazzjoni tal-obbligi ta’ rapportar, u li jħassar ir-Regolament (UE) 2018/956(COM(2023)0088) – C9-0025/2023 – 2023/0042(COD))"/>
  </w:docVars>
  <w:rsids>
    <w:rsidRoot w:val="008341A9"/>
    <w:rsid w:val="00002272"/>
    <w:rsid w:val="00064002"/>
    <w:rsid w:val="000677B9"/>
    <w:rsid w:val="0007323E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E553F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2A5E"/>
    <w:rsid w:val="006631B6"/>
    <w:rsid w:val="006644FC"/>
    <w:rsid w:val="00680577"/>
    <w:rsid w:val="006F74FA"/>
    <w:rsid w:val="00731ADD"/>
    <w:rsid w:val="00733012"/>
    <w:rsid w:val="00734777"/>
    <w:rsid w:val="00746181"/>
    <w:rsid w:val="00747932"/>
    <w:rsid w:val="00751A4A"/>
    <w:rsid w:val="00756632"/>
    <w:rsid w:val="00762C74"/>
    <w:rsid w:val="00786EC0"/>
    <w:rsid w:val="007D1690"/>
    <w:rsid w:val="007E22AD"/>
    <w:rsid w:val="00817416"/>
    <w:rsid w:val="008341A9"/>
    <w:rsid w:val="00842779"/>
    <w:rsid w:val="00865F67"/>
    <w:rsid w:val="00881A7B"/>
    <w:rsid w:val="008840E5"/>
    <w:rsid w:val="00887B3E"/>
    <w:rsid w:val="008C2AC6"/>
    <w:rsid w:val="008E0F5D"/>
    <w:rsid w:val="00930C23"/>
    <w:rsid w:val="0093193B"/>
    <w:rsid w:val="009509D8"/>
    <w:rsid w:val="00950B64"/>
    <w:rsid w:val="00981893"/>
    <w:rsid w:val="009B36D1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A4C1D"/>
    <w:rsid w:val="00CC2357"/>
    <w:rsid w:val="00CF071A"/>
    <w:rsid w:val="00D058B8"/>
    <w:rsid w:val="00D261C1"/>
    <w:rsid w:val="00D56C11"/>
    <w:rsid w:val="00D834A0"/>
    <w:rsid w:val="00D872DF"/>
    <w:rsid w:val="00D91E21"/>
    <w:rsid w:val="00DA7FCD"/>
    <w:rsid w:val="00DC4414"/>
    <w:rsid w:val="00DF0E9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334EE"/>
    <w:rsid w:val="00F5134D"/>
    <w:rsid w:val="00F74202"/>
    <w:rsid w:val="00F87713"/>
    <w:rsid w:val="00FB4360"/>
    <w:rsid w:val="00FC02CC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A3BCF6F"/>
  <w15:chartTrackingRefBased/>
  <w15:docId w15:val="{E70B89B3-0DAE-4B7F-9701-94158033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16 Point,BVI fnr,Footnote Reference Number,Footnote Reference Superscript,Footnote Reference_LVL6,Footnote Reference_LVL61,Footnote Reference_LVL62,Footnote Reference_LVL63,Footnote Reference_LVL64,Footnote symbol,Superscript 6 Point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ootnote text,Fußnotentextf,Podrozdział,Schriftart: 10 pt,Schriftart: 8 p,Schriftart: 8 pt,Schriftart: 9 pt,Tekst przypisu,Voetnoottekst Char,Voetnoottekst Char1,WB-Fußnotentext,WB-Fuﬂnotentext,fn,o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ootnote text Char,Fußnotentextf Char,Podrozdział Char,Schriftart: 10 pt Char,Schriftart: 8 p Char,Schriftart: 8 pt Char,Schriftart: 9 pt Char,Tekst przypisu Char,Voetnoottekst Char Char,Voetnoottekst Char1 Char,fn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E553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2E553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2E553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53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53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53F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53F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uiPriority w:val="99"/>
    <w:rsid w:val="002E553F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uiPriority w:val="99"/>
    <w:rsid w:val="002E553F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2E553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E553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E553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E553F"/>
    <w:pPr>
      <w:spacing w:after="120"/>
    </w:pPr>
  </w:style>
  <w:style w:type="paragraph" w:customStyle="1" w:styleId="PageHeading">
    <w:name w:val="PageHeading"/>
    <w:basedOn w:val="Normal"/>
    <w:rsid w:val="002E553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E553F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2E553F"/>
    <w:rPr>
      <w:b/>
      <w:sz w:val="24"/>
      <w:lang w:val="mt-MT"/>
    </w:rPr>
  </w:style>
  <w:style w:type="paragraph" w:customStyle="1" w:styleId="NormalBold12a">
    <w:name w:val="NormalBold12a"/>
    <w:basedOn w:val="Normal"/>
    <w:rsid w:val="002E553F"/>
    <w:pPr>
      <w:spacing w:after="240"/>
    </w:pPr>
    <w:rPr>
      <w:b/>
    </w:rPr>
  </w:style>
  <w:style w:type="paragraph" w:customStyle="1" w:styleId="AmJustText">
    <w:name w:val="AmJustText"/>
    <w:basedOn w:val="Normal"/>
    <w:rsid w:val="002E553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E553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E553F"/>
    <w:pPr>
      <w:spacing w:after="480"/>
      <w:ind w:left="1417"/>
    </w:pPr>
  </w:style>
  <w:style w:type="paragraph" w:customStyle="1" w:styleId="CoverNormal">
    <w:name w:val="CoverNormal"/>
    <w:basedOn w:val="Normal"/>
    <w:rsid w:val="002E553F"/>
    <w:pPr>
      <w:ind w:left="1418"/>
    </w:pPr>
  </w:style>
  <w:style w:type="paragraph" w:customStyle="1" w:styleId="AmCrossRef">
    <w:name w:val="AmCrossRef"/>
    <w:basedOn w:val="Normal"/>
    <w:rsid w:val="002E553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E553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E553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E553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E553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E553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E55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3F"/>
    <w:rPr>
      <w:sz w:val="24"/>
      <w:lang w:val="mt-MT"/>
    </w:rPr>
  </w:style>
  <w:style w:type="paragraph" w:customStyle="1" w:styleId="AmOrLang">
    <w:name w:val="AmOrLang"/>
    <w:basedOn w:val="Normal"/>
    <w:rsid w:val="002E553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E553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2E553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2E553F"/>
    <w:pPr>
      <w:spacing w:before="240"/>
    </w:pPr>
    <w:rPr>
      <w:b/>
    </w:rPr>
  </w:style>
  <w:style w:type="paragraph" w:customStyle="1" w:styleId="EPBody">
    <w:name w:val="EPBody"/>
    <w:basedOn w:val="Normal"/>
    <w:rsid w:val="002E553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E553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E553F"/>
    <w:pPr>
      <w:spacing w:before="480" w:after="240"/>
    </w:pPr>
  </w:style>
  <w:style w:type="paragraph" w:customStyle="1" w:styleId="Lgendesigne">
    <w:name w:val="Légende signe"/>
    <w:basedOn w:val="Normal"/>
    <w:rsid w:val="002E553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E553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2E553F"/>
    <w:pPr>
      <w:ind w:left="0" w:firstLine="0"/>
    </w:pPr>
  </w:style>
  <w:style w:type="paragraph" w:customStyle="1" w:styleId="Normal24a">
    <w:name w:val="Normal24a"/>
    <w:basedOn w:val="Normal"/>
    <w:rsid w:val="002E553F"/>
    <w:pPr>
      <w:spacing w:after="480"/>
    </w:pPr>
  </w:style>
  <w:style w:type="paragraph" w:customStyle="1" w:styleId="NormalBoldCenter">
    <w:name w:val="NormalBoldCenter"/>
    <w:basedOn w:val="Normal"/>
    <w:rsid w:val="002E553F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2E55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E553F"/>
    <w:rPr>
      <w:rFonts w:ascii="Segoe UI" w:hAnsi="Segoe UI" w:cs="Segoe UI"/>
      <w:sz w:val="18"/>
      <w:szCs w:val="18"/>
      <w:lang w:val="mt-MT"/>
    </w:rPr>
  </w:style>
  <w:style w:type="character" w:customStyle="1" w:styleId="Normal6Char">
    <w:name w:val="Normal6 Char"/>
    <w:basedOn w:val="DefaultParagraphFont"/>
    <w:link w:val="Normal6"/>
    <w:locked/>
    <w:rsid w:val="002E553F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2E553F"/>
    <w:pPr>
      <w:spacing w:after="120"/>
    </w:pPr>
    <w:rPr>
      <w:rFonts w:eastAsiaTheme="minorHAnsi"/>
      <w:szCs w:val="22"/>
      <w:lang w:val="en-GB" w:eastAsia="en-US"/>
    </w:rPr>
  </w:style>
  <w:style w:type="paragraph" w:customStyle="1" w:styleId="ColumnHeading">
    <w:name w:val="ColumnHeading"/>
    <w:basedOn w:val="Normal"/>
    <w:rsid w:val="002E553F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2E553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2E553F"/>
    <w:pPr>
      <w:jc w:val="right"/>
    </w:pPr>
    <w:rPr>
      <w:lang w:val="mt-MT"/>
    </w:rPr>
  </w:style>
  <w:style w:type="paragraph" w:customStyle="1" w:styleId="msonormal0">
    <w:name w:val="msonormal"/>
    <w:basedOn w:val="Normal"/>
    <w:rsid w:val="002E553F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2E553F"/>
    <w:rPr>
      <w:noProof/>
      <w:sz w:val="24"/>
    </w:rPr>
  </w:style>
  <w:style w:type="paragraph" w:customStyle="1" w:styleId="Normal12">
    <w:name w:val="Normal12"/>
    <w:basedOn w:val="Normal"/>
    <w:link w:val="Normal12Char"/>
    <w:rsid w:val="002E553F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2E553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E553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E553F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2E553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E553F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2E553F"/>
    <w:rPr>
      <w:i/>
    </w:rPr>
  </w:style>
  <w:style w:type="paragraph" w:customStyle="1" w:styleId="JustificationTitle">
    <w:name w:val="JustificationTitle"/>
    <w:basedOn w:val="Normal"/>
    <w:next w:val="Normal12"/>
    <w:rsid w:val="002E553F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2E553F"/>
    <w:pPr>
      <w:spacing w:before="240"/>
      <w:jc w:val="center"/>
    </w:pPr>
    <w:rPr>
      <w:i/>
    </w:rPr>
  </w:style>
  <w:style w:type="character" w:customStyle="1" w:styleId="Footer2Middle">
    <w:name w:val="Footer2Middle"/>
    <w:rsid w:val="002E553F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2E553F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2E553F"/>
    <w:rPr>
      <w:rFonts w:asciiTheme="minorHAnsi" w:eastAsiaTheme="minorHAnsi" w:hAnsiTheme="minorHAnsi" w:cstheme="minorBidi"/>
      <w:sz w:val="22"/>
      <w:szCs w:val="22"/>
      <w:lang w:val="mt-M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2E553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553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E553F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E55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E553F"/>
    <w:rPr>
      <w:b/>
      <w:bCs/>
      <w:lang w:val="mt-MT"/>
    </w:rPr>
  </w:style>
  <w:style w:type="paragraph" w:customStyle="1" w:styleId="Normal12a">
    <w:name w:val="Normal12a"/>
    <w:basedOn w:val="Normal"/>
    <w:rsid w:val="002E553F"/>
    <w:pPr>
      <w:spacing w:after="240"/>
    </w:pPr>
  </w:style>
  <w:style w:type="paragraph" w:customStyle="1" w:styleId="RollCallVotes">
    <w:name w:val="RollCallVotes"/>
    <w:basedOn w:val="Normal"/>
    <w:rsid w:val="002E553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2E553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2E553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2E553F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2E553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E553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2E553F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Default">
    <w:name w:val="Default"/>
    <w:rsid w:val="002E553F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mt-MT" w:eastAsia="en-US"/>
    </w:rPr>
  </w:style>
  <w:style w:type="character" w:customStyle="1" w:styleId="highlight-diff">
    <w:name w:val="highlight-diff"/>
    <w:basedOn w:val="DefaultParagraphFont"/>
    <w:rsid w:val="002E553F"/>
  </w:style>
  <w:style w:type="character" w:customStyle="1" w:styleId="Hyperlink8">
    <w:name w:val="Hyperlink.8"/>
    <w:basedOn w:val="DefaultParagraphFont"/>
    <w:rsid w:val="002E553F"/>
  </w:style>
  <w:style w:type="character" w:customStyle="1" w:styleId="None">
    <w:name w:val="None"/>
    <w:rsid w:val="002E553F"/>
  </w:style>
  <w:style w:type="paragraph" w:styleId="Footer">
    <w:name w:val="footer"/>
    <w:basedOn w:val="Normal"/>
    <w:link w:val="FooterChar"/>
    <w:uiPriority w:val="99"/>
    <w:rsid w:val="002E55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53F"/>
    <w:rPr>
      <w:sz w:val="24"/>
      <w:lang w:val="mt-MT"/>
    </w:rPr>
  </w:style>
  <w:style w:type="paragraph" w:customStyle="1" w:styleId="AmDocTypeTab">
    <w:name w:val="AmDocTypeTab"/>
    <w:basedOn w:val="Normal"/>
    <w:rsid w:val="00662A5E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662A5E"/>
    <w:pPr>
      <w:spacing w:after="240"/>
      <w:jc w:val="center"/>
    </w:pPr>
  </w:style>
  <w:style w:type="paragraph" w:customStyle="1" w:styleId="AmDateTab">
    <w:name w:val="AmDateTab"/>
    <w:basedOn w:val="Normal"/>
    <w:rsid w:val="00662A5E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662A5E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662A5E"/>
  </w:style>
  <w:style w:type="paragraph" w:customStyle="1" w:styleId="NormalCentered">
    <w:name w:val="Normal Centered"/>
    <w:basedOn w:val="Normal"/>
    <w:rsid w:val="00662A5E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662A5E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662A5E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662A5E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662A5E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662A5E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662A5E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662A5E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662A5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662A5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662A5E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662A5E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662A5E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662A5E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662A5E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662A5E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662A5E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662A5E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662A5E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662A5E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662A5E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662A5E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662A5E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662A5E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662A5E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662A5E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662A5E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662A5E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662A5E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662A5E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662A5E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662A5E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662A5E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662A5E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662A5E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662A5E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662A5E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662A5E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662A5E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662A5E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662A5E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662A5E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662A5E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662A5E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662A5E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662A5E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662A5E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662A5E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662A5E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662A5E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662A5E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662A5E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662A5E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662A5E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662A5E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662A5E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662A5E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662A5E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662A5E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662A5E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662A5E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662A5E"/>
    <w:pPr>
      <w:jc w:val="center"/>
    </w:pPr>
  </w:style>
  <w:style w:type="paragraph" w:customStyle="1" w:styleId="Jardin">
    <w:name w:val="Jardin"/>
    <w:basedOn w:val="Normal"/>
    <w:rsid w:val="00662A5E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662A5E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662A5E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662A5E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662A5E"/>
    <w:rPr>
      <w:b/>
    </w:rPr>
  </w:style>
  <w:style w:type="paragraph" w:customStyle="1" w:styleId="Annex">
    <w:name w:val="Annex"/>
    <w:basedOn w:val="Normal"/>
    <w:next w:val="Normal"/>
    <w:rsid w:val="00662A5E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662A5E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662A5E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662A5E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662A5E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662A5E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662A5E"/>
  </w:style>
  <w:style w:type="character" w:styleId="EndnoteReference">
    <w:name w:val="endnote reference"/>
    <w:basedOn w:val="DefaultParagraphFont"/>
    <w:uiPriority w:val="99"/>
    <w:unhideWhenUsed/>
    <w:rsid w:val="00662A5E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662A5E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662A5E"/>
    <w:rPr>
      <w:rFonts w:eastAsia="Calibri"/>
      <w:sz w:val="24"/>
      <w:szCs w:val="22"/>
      <w:lang w:val="mt-M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662A5E"/>
    <w:rPr>
      <w:rFonts w:eastAsia="Calibri"/>
      <w:sz w:val="2"/>
      <w:szCs w:val="22"/>
      <w:lang w:val="mt-MT" w:eastAsia="en-US"/>
    </w:rPr>
  </w:style>
  <w:style w:type="paragraph" w:customStyle="1" w:styleId="FooterText">
    <w:name w:val="Footer Text"/>
    <w:basedOn w:val="Normal"/>
    <w:rsid w:val="00662A5E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62A5E"/>
    <w:rPr>
      <w:color w:val="808080"/>
    </w:rPr>
  </w:style>
  <w:style w:type="paragraph" w:styleId="ListBullet4">
    <w:name w:val="List Bullet 4"/>
    <w:basedOn w:val="Normal"/>
    <w:uiPriority w:val="99"/>
    <w:rsid w:val="00662A5E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662A5E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662A5E"/>
    <w:pPr>
      <w:spacing w:before="120" w:after="120"/>
      <w:jc w:val="both"/>
    </w:pPr>
    <w:rPr>
      <w:lang w:val="mt-M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662A5E"/>
    <w:rPr>
      <w:color w:val="0000FF"/>
      <w:u w:val="single"/>
    </w:rPr>
  </w:style>
  <w:style w:type="paragraph" w:styleId="ListBullet">
    <w:name w:val="List Bullet"/>
    <w:basedOn w:val="Normal"/>
    <w:uiPriority w:val="99"/>
    <w:rsid w:val="00662A5E"/>
    <w:pPr>
      <w:widowControl/>
      <w:numPr>
        <w:numId w:val="25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662A5E"/>
    <w:pPr>
      <w:widowControl/>
      <w:numPr>
        <w:numId w:val="26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662A5E"/>
    <w:pPr>
      <w:widowControl/>
      <w:numPr>
        <w:numId w:val="27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662A5E"/>
    <w:pPr>
      <w:widowControl/>
      <w:numPr>
        <w:numId w:val="28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662A5E"/>
    <w:pPr>
      <w:widowControl/>
      <w:numPr>
        <w:numId w:val="29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662A5E"/>
    <w:pPr>
      <w:widowControl/>
      <w:numPr>
        <w:numId w:val="30"/>
      </w:numPr>
      <w:spacing w:before="120" w:after="120"/>
      <w:jc w:val="both"/>
    </w:pPr>
    <w:rPr>
      <w:szCs w:val="22"/>
    </w:rPr>
  </w:style>
  <w:style w:type="paragraph" w:styleId="Caption">
    <w:name w:val="caption"/>
    <w:basedOn w:val="Normal"/>
    <w:next w:val="Normal"/>
    <w:uiPriority w:val="35"/>
    <w:qFormat/>
    <w:rsid w:val="00662A5E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62A5E"/>
    <w:pPr>
      <w:widowControl/>
      <w:spacing w:before="120" w:after="120"/>
      <w:jc w:val="both"/>
    </w:pPr>
    <w:rPr>
      <w:szCs w:val="22"/>
    </w:rPr>
  </w:style>
  <w:style w:type="character" w:styleId="FollowedHyperlink">
    <w:name w:val="FollowedHyperlink"/>
    <w:uiPriority w:val="99"/>
    <w:rsid w:val="00662A5E"/>
    <w:rPr>
      <w:color w:val="800080"/>
      <w:u w:val="single"/>
    </w:rPr>
  </w:style>
  <w:style w:type="paragraph" w:styleId="Revision">
    <w:name w:val="Revision"/>
    <w:hidden/>
    <w:uiPriority w:val="99"/>
    <w:semiHidden/>
    <w:rsid w:val="00662A5E"/>
    <w:pPr>
      <w:spacing w:after="200" w:line="276" w:lineRule="auto"/>
    </w:pPr>
    <w:rPr>
      <w:rFonts w:ascii="Calibri" w:eastAsia="Calibri" w:hAnsi="Calibri"/>
      <w:sz w:val="24"/>
      <w:szCs w:val="22"/>
      <w:lang w:val="mt-MT"/>
    </w:rPr>
  </w:style>
  <w:style w:type="paragraph" w:customStyle="1" w:styleId="headingONTENT1">
    <w:name w:val="heading ONTENT1"/>
    <w:basedOn w:val="Normal"/>
    <w:next w:val="ListParagraph"/>
    <w:link w:val="ListParagraphChar"/>
    <w:uiPriority w:val="34"/>
    <w:qFormat/>
    <w:rsid w:val="00662A5E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662A5E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character" w:customStyle="1" w:styleId="ListParagraphChar">
    <w:name w:val="List Paragraph Char"/>
    <w:aliases w:val="1st level - Bullet List Paragraph Char,Bullet Points Char,Dot pt Char,F5 List Paragraph Char,Heading 2_sj Char,Indicator Text Char,Lettre d'introduction Char,List Paragraph Char Char Char Char,List Paragraph1 Char,No Spacing1 Char"/>
    <w:basedOn w:val="DefaultParagraphFont"/>
    <w:link w:val="headingONTENT1"/>
    <w:uiPriority w:val="34"/>
    <w:qFormat/>
    <w:rsid w:val="00662A5E"/>
    <w:rPr>
      <w:rFonts w:eastAsia="Calibri"/>
      <w:sz w:val="24"/>
      <w:szCs w:val="22"/>
      <w:lang w:val="mt-MT" w:eastAsia="en-US"/>
    </w:rPr>
  </w:style>
  <w:style w:type="character" w:styleId="Emphasis">
    <w:name w:val="Emphasis"/>
    <w:basedOn w:val="DefaultParagraphFont"/>
    <w:uiPriority w:val="20"/>
    <w:qFormat/>
    <w:rsid w:val="00662A5E"/>
    <w:rPr>
      <w:i/>
      <w:iCs/>
    </w:rPr>
  </w:style>
  <w:style w:type="paragraph" w:customStyle="1" w:styleId="text10">
    <w:name w:val="text1"/>
    <w:basedOn w:val="Normal"/>
    <w:rsid w:val="00662A5E"/>
    <w:pPr>
      <w:widowControl/>
      <w:spacing w:before="120" w:after="120"/>
      <w:ind w:left="850"/>
      <w:jc w:val="both"/>
    </w:pPr>
    <w:rPr>
      <w:rFonts w:eastAsia="Calibri"/>
      <w:szCs w:val="24"/>
      <w:lang w:eastAsia="en-IE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662A5E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662A5E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662A5E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662A5E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662A5E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662A5E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662A5E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662A5E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662A5E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662A5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662A5E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662A5E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662A5E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662A5E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662A5E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62A5E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62A5E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62A5E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662A5E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62A5E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62A5E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662A5E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662A5E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662A5E"/>
    <w:rPr>
      <w:rFonts w:ascii="Calibri" w:eastAsia="Calibri" w:hAnsi="Calibri" w:cs="Arial"/>
      <w:sz w:val="22"/>
      <w:szCs w:val="22"/>
      <w:lang w:val="mt-M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662A5E"/>
    <w:rPr>
      <w:rFonts w:ascii="Calibri" w:eastAsia="Calibri" w:hAnsi="Calibri" w:cs="Arial"/>
      <w:sz w:val="22"/>
      <w:szCs w:val="22"/>
      <w:lang w:val="mt-M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662A5E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62A5E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2A5E"/>
    <w:rPr>
      <w:rFonts w:ascii="Cambria" w:hAnsi="Cambria"/>
      <w:b/>
      <w:bCs/>
      <w:kern w:val="28"/>
      <w:sz w:val="32"/>
      <w:szCs w:val="32"/>
      <w:lang w:val="mt-MT"/>
    </w:rPr>
  </w:style>
  <w:style w:type="table" w:customStyle="1" w:styleId="TableGrid111">
    <w:name w:val="Table Grid111"/>
    <w:basedOn w:val="TableNormal"/>
    <w:next w:val="TableGrid"/>
    <w:uiPriority w:val="59"/>
    <w:rsid w:val="00662A5E"/>
    <w:rPr>
      <w:rFonts w:ascii="Calibri" w:hAnsi="Calibri"/>
      <w:lang w:val="mt-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662A5E"/>
    <w:rPr>
      <w:rFonts w:ascii="Calibri" w:eastAsia="Calibri" w:hAnsi="Calibri" w:cs="Arial"/>
      <w:sz w:val="22"/>
      <w:szCs w:val="22"/>
      <w:lang w:val="mt-M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62A5E"/>
    <w:rPr>
      <w:rFonts w:ascii="Calibri" w:eastAsia="Calibri" w:hAnsi="Calibri" w:cs="Arial"/>
      <w:sz w:val="22"/>
      <w:szCs w:val="22"/>
      <w:lang w:val="mt-M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662A5E"/>
    <w:pPr>
      <w:widowControl/>
    </w:pPr>
    <w:rPr>
      <w:rFonts w:ascii="Consolas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662A5E"/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rsid w:val="00662A5E"/>
    <w:rPr>
      <w:b/>
      <w:bCs/>
    </w:rPr>
  </w:style>
  <w:style w:type="paragraph" w:customStyle="1" w:styleId="Tiret0">
    <w:name w:val="Tiret 0"/>
    <w:basedOn w:val="Point0"/>
    <w:rsid w:val="00662A5E"/>
    <w:pPr>
      <w:tabs>
        <w:tab w:val="num" w:pos="720"/>
      </w:tabs>
      <w:ind w:left="720" w:hanging="360"/>
    </w:pPr>
  </w:style>
  <w:style w:type="paragraph" w:styleId="EndnoteText">
    <w:name w:val="endnote text"/>
    <w:basedOn w:val="Normal"/>
    <w:link w:val="EndnoteTextChar1"/>
    <w:rsid w:val="00662A5E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662A5E"/>
    <w:rPr>
      <w:lang w:val="mt-MT"/>
    </w:rPr>
  </w:style>
  <w:style w:type="paragraph" w:styleId="ListParagraph">
    <w:name w:val="List Paragraph"/>
    <w:basedOn w:val="Normal"/>
    <w:uiPriority w:val="34"/>
    <w:qFormat/>
    <w:rsid w:val="00662A5E"/>
    <w:pPr>
      <w:ind w:left="720"/>
      <w:contextualSpacing/>
    </w:pPr>
  </w:style>
  <w:style w:type="paragraph" w:styleId="PlainText">
    <w:name w:val="Plain Text"/>
    <w:basedOn w:val="Normal"/>
    <w:link w:val="PlainTextChar1"/>
    <w:rsid w:val="00662A5E"/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rsid w:val="00662A5E"/>
    <w:rPr>
      <w:rFonts w:ascii="Consolas" w:hAnsi="Consolas"/>
      <w:sz w:val="21"/>
      <w:szCs w:val="21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8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408E1-7417-49C8-A87C-9CB0718BD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CUTAJAR Sera</dc:creator>
  <cp:keywords/>
  <cp:lastModifiedBy>CUTAJAR Sera</cp:lastModifiedBy>
  <cp:revision>2</cp:revision>
  <cp:lastPrinted>2004-11-19T15:42:00Z</cp:lastPrinted>
  <dcterms:created xsi:type="dcterms:W3CDTF">2024-07-24T09:48:00Z</dcterms:created>
  <dcterms:modified xsi:type="dcterms:W3CDTF">2024-07-24T09:48:00Z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