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4256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4256B" w:rsidRDefault="003F1FB5" w:rsidP="0010095E">
            <w:pPr>
              <w:pStyle w:val="EPName"/>
            </w:pPr>
            <w:r w:rsidRPr="0054256B">
              <w:t>Eiropas Parlaments</w:t>
            </w:r>
          </w:p>
          <w:p w:rsidR="00751A4A" w:rsidRPr="0054256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55B2">
              <w:t>2019</w:t>
            </w:r>
            <w:r w:rsidRPr="0054256B">
              <w:t>-</w:t>
            </w:r>
            <w:r w:rsidRPr="004455B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4256B" w:rsidRDefault="00187494" w:rsidP="0010095E">
            <w:pPr>
              <w:pStyle w:val="EPLogo"/>
            </w:pPr>
            <w:r w:rsidRPr="0054256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4256B" w:rsidRDefault="00D058B8" w:rsidP="004C5D52">
      <w:pPr>
        <w:pStyle w:val="LineTop"/>
      </w:pPr>
    </w:p>
    <w:p w:rsidR="00680577" w:rsidRPr="0054256B" w:rsidRDefault="003F1FB5" w:rsidP="00680577">
      <w:pPr>
        <w:pStyle w:val="EPBodyTA1"/>
      </w:pPr>
      <w:r w:rsidRPr="0054256B">
        <w:t>PIEŅEMTIE TEKSTI</w:t>
      </w:r>
    </w:p>
    <w:p w:rsidR="00D058B8" w:rsidRPr="0054256B" w:rsidRDefault="00D058B8" w:rsidP="00D058B8">
      <w:pPr>
        <w:pStyle w:val="LineBottom"/>
      </w:pPr>
    </w:p>
    <w:p w:rsidR="003F1FB5" w:rsidRPr="0054256B" w:rsidRDefault="003F1FB5" w:rsidP="003F1FB5">
      <w:pPr>
        <w:pStyle w:val="ATHeading1"/>
      </w:pPr>
      <w:bookmarkStart w:id="0" w:name="TANumber"/>
      <w:r w:rsidRPr="0054256B">
        <w:t>P</w:t>
      </w:r>
      <w:r w:rsidRPr="004455B2">
        <w:t>9</w:t>
      </w:r>
      <w:r w:rsidRPr="0054256B">
        <w:t>_TA(</w:t>
      </w:r>
      <w:r w:rsidRPr="004455B2">
        <w:t>2024</w:t>
      </w:r>
      <w:r w:rsidRPr="0054256B">
        <w:t>)</w:t>
      </w:r>
      <w:r w:rsidRPr="004455B2">
        <w:t>0</w:t>
      </w:r>
      <w:bookmarkEnd w:id="0"/>
      <w:r w:rsidR="0054256B" w:rsidRPr="004455B2">
        <w:t>192</w:t>
      </w:r>
    </w:p>
    <w:p w:rsidR="003F1FB5" w:rsidRPr="0054256B" w:rsidRDefault="00812BA2" w:rsidP="003F1FB5">
      <w:pPr>
        <w:pStyle w:val="ATHeading2"/>
      </w:pPr>
      <w:r w:rsidRPr="0054256B">
        <w:t>CO</w:t>
      </w:r>
      <w:r w:rsidRPr="004455B2">
        <w:rPr>
          <w:vertAlign w:val="subscript"/>
        </w:rPr>
        <w:t>2</w:t>
      </w:r>
      <w:r w:rsidRPr="0054256B">
        <w:t xml:space="preserve"> emisiju standartu pastiprināšana jauniem lielas noslodzes transportlīdzekļiem</w:t>
      </w:r>
    </w:p>
    <w:p w:rsidR="003F1FB5" w:rsidRPr="0054256B" w:rsidRDefault="003F1FB5" w:rsidP="003F1FB5">
      <w:pPr>
        <w:rPr>
          <w:i/>
          <w:vanish/>
        </w:rPr>
      </w:pPr>
      <w:r w:rsidRPr="0054256B">
        <w:rPr>
          <w:i/>
        </w:rPr>
        <w:fldChar w:fldCharType="begin"/>
      </w:r>
      <w:r w:rsidRPr="0054256B">
        <w:rPr>
          <w:i/>
        </w:rPr>
        <w:instrText xml:space="preserve"> TC"(</w:instrText>
      </w:r>
      <w:bookmarkStart w:id="1" w:name="DocNumber"/>
      <w:r w:rsidRPr="0054256B">
        <w:rPr>
          <w:i/>
        </w:rPr>
        <w:instrText>A</w:instrText>
      </w:r>
      <w:r w:rsidRPr="004455B2">
        <w:rPr>
          <w:i/>
        </w:rPr>
        <w:instrText>9</w:instrText>
      </w:r>
      <w:r w:rsidRPr="0054256B">
        <w:rPr>
          <w:i/>
        </w:rPr>
        <w:instrText>-</w:instrText>
      </w:r>
      <w:r w:rsidRPr="004455B2">
        <w:rPr>
          <w:i/>
        </w:rPr>
        <w:instrText>0313</w:instrText>
      </w:r>
      <w:r w:rsidRPr="0054256B">
        <w:rPr>
          <w:i/>
        </w:rPr>
        <w:instrText>/</w:instrText>
      </w:r>
      <w:r w:rsidRPr="004455B2">
        <w:rPr>
          <w:i/>
        </w:rPr>
        <w:instrText>2023</w:instrText>
      </w:r>
      <w:bookmarkEnd w:id="1"/>
      <w:r w:rsidRPr="0054256B">
        <w:rPr>
          <w:i/>
        </w:rPr>
        <w:instrText xml:space="preserve"> - Referents: Bas Eickhout)"\l</w:instrText>
      </w:r>
      <w:r w:rsidRPr="004455B2">
        <w:rPr>
          <w:i/>
        </w:rPr>
        <w:instrText>3</w:instrText>
      </w:r>
      <w:r w:rsidRPr="0054256B">
        <w:rPr>
          <w:i/>
        </w:rPr>
        <w:instrText xml:space="preserve"> \n&gt; \* MERGEFORMAT </w:instrText>
      </w:r>
      <w:r w:rsidRPr="0054256B">
        <w:rPr>
          <w:i/>
        </w:rPr>
        <w:fldChar w:fldCharType="end"/>
      </w:r>
    </w:p>
    <w:p w:rsidR="003F1FB5" w:rsidRPr="0054256B" w:rsidRDefault="003F1FB5" w:rsidP="003F1FB5">
      <w:pPr>
        <w:rPr>
          <w:vanish/>
        </w:rPr>
      </w:pPr>
      <w:bookmarkStart w:id="2" w:name="Commission"/>
      <w:r w:rsidRPr="0054256B">
        <w:rPr>
          <w:vanish/>
        </w:rPr>
        <w:t>Vides, sabiedrības veselības un pārtikas nekaitīguma komiteja</w:t>
      </w:r>
      <w:bookmarkEnd w:id="2"/>
    </w:p>
    <w:p w:rsidR="003F1FB5" w:rsidRPr="0054256B" w:rsidRDefault="003F1FB5" w:rsidP="003F1FB5">
      <w:pPr>
        <w:rPr>
          <w:vanish/>
        </w:rPr>
      </w:pPr>
      <w:bookmarkStart w:id="3" w:name="PE"/>
      <w:r w:rsidRPr="0054256B">
        <w:rPr>
          <w:vanish/>
        </w:rPr>
        <w:t>PE</w:t>
      </w:r>
      <w:r w:rsidRPr="004455B2">
        <w:rPr>
          <w:vanish/>
        </w:rPr>
        <w:t>746</w:t>
      </w:r>
      <w:r w:rsidRPr="0054256B">
        <w:rPr>
          <w:vanish/>
        </w:rPr>
        <w:t>.</w:t>
      </w:r>
      <w:r w:rsidRPr="004455B2">
        <w:rPr>
          <w:vanish/>
        </w:rPr>
        <w:t>858</w:t>
      </w:r>
      <w:bookmarkEnd w:id="3"/>
    </w:p>
    <w:p w:rsidR="00EC7DD9" w:rsidRPr="0054256B" w:rsidRDefault="003F1FB5" w:rsidP="00812BA2">
      <w:pPr>
        <w:pStyle w:val="ATHeading3"/>
      </w:pPr>
      <w:bookmarkStart w:id="4" w:name="Sujet"/>
      <w:r w:rsidRPr="0054256B">
        <w:t xml:space="preserve">Eiropas Parlamenta </w:t>
      </w:r>
      <w:r w:rsidRPr="004455B2">
        <w:t>2024</w:t>
      </w:r>
      <w:r w:rsidRPr="0054256B">
        <w:t xml:space="preserve">. gada </w:t>
      </w:r>
      <w:r w:rsidR="00812BA2" w:rsidRPr="004455B2">
        <w:t>10</w:t>
      </w:r>
      <w:r w:rsidRPr="0054256B">
        <w:t xml:space="preserve">. </w:t>
      </w:r>
      <w:r w:rsidR="00812BA2" w:rsidRPr="0054256B">
        <w:t>aprīļa</w:t>
      </w:r>
      <w:r w:rsidRPr="0054256B">
        <w:t xml:space="preserve"> normatīvā rezolūcija par priekšlikumu Eiropas Parlamenta un Padomes regulai, </w:t>
      </w:r>
      <w:bookmarkEnd w:id="4"/>
      <w:r w:rsidR="006021DA" w:rsidRPr="002A61E8">
        <w:rPr>
          <w:noProof/>
        </w:rPr>
        <w:t>ar ko Regulu (ES) 2019/1242 groza attiecībā uz CO</w:t>
      </w:r>
      <w:r w:rsidR="006021DA" w:rsidRPr="002A61E8">
        <w:rPr>
          <w:noProof/>
          <w:vertAlign w:val="subscript"/>
        </w:rPr>
        <w:t>2</w:t>
      </w:r>
      <w:r w:rsidR="006021DA" w:rsidRPr="002A61E8">
        <w:rPr>
          <w:noProof/>
        </w:rPr>
        <w:t xml:space="preserve"> emisiju standartu pastiprināšanu jauniem lielas noslodzes transportlīdzekļiem un ziņošanas pienākumu integrēšanu un ar ko atceļ Regulu (ES) 2018/956</w:t>
      </w:r>
      <w:r w:rsidRPr="0054256B">
        <w:t xml:space="preserve"> </w:t>
      </w:r>
      <w:bookmarkStart w:id="5" w:name="References"/>
      <w:r w:rsidRPr="0054256B">
        <w:t>(COM(</w:t>
      </w:r>
      <w:r w:rsidRPr="004455B2">
        <w:t>2023</w:t>
      </w:r>
      <w:r w:rsidRPr="0054256B">
        <w:t>)</w:t>
      </w:r>
      <w:r w:rsidRPr="004455B2">
        <w:t>0088</w:t>
      </w:r>
      <w:r w:rsidRPr="0054256B">
        <w:t>) – C</w:t>
      </w:r>
      <w:r w:rsidRPr="004455B2">
        <w:t>9</w:t>
      </w:r>
      <w:r w:rsidRPr="0054256B">
        <w:t>-</w:t>
      </w:r>
      <w:r w:rsidRPr="004455B2">
        <w:t>0025</w:t>
      </w:r>
      <w:r w:rsidRPr="0054256B">
        <w:t>/</w:t>
      </w:r>
      <w:r w:rsidRPr="004455B2">
        <w:t>2023</w:t>
      </w:r>
      <w:r w:rsidRPr="0054256B">
        <w:t xml:space="preserve"> – </w:t>
      </w:r>
      <w:r w:rsidRPr="004455B2">
        <w:t>2023</w:t>
      </w:r>
      <w:r w:rsidRPr="0054256B">
        <w:t>/</w:t>
      </w:r>
      <w:r w:rsidRPr="004455B2">
        <w:t>0042</w:t>
      </w:r>
      <w:r w:rsidRPr="0054256B">
        <w:t>(COD))</w:t>
      </w:r>
      <w:bookmarkStart w:id="6" w:name="TextBodyBegin"/>
      <w:bookmarkEnd w:id="5"/>
      <w:bookmarkEnd w:id="6"/>
    </w:p>
    <w:p w:rsidR="00EC7DD9" w:rsidRPr="0054256B" w:rsidRDefault="00EC7DD9" w:rsidP="00EC7DD9">
      <w:pPr>
        <w:pStyle w:val="NormalBold"/>
      </w:pPr>
      <w:r w:rsidRPr="0054256B">
        <w:t>(Parastā likumdošanas procedūra: pirmais lasījums)</w:t>
      </w:r>
    </w:p>
    <w:p w:rsidR="00EC7DD9" w:rsidRPr="0054256B" w:rsidRDefault="00EC7DD9" w:rsidP="00EC7DD9">
      <w:pPr>
        <w:pStyle w:val="EPComma"/>
      </w:pPr>
      <w:r w:rsidRPr="0054256B">
        <w:rPr>
          <w:i/>
        </w:rPr>
        <w:t>Eiropas Parlaments,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>ņemot vērā Komisijas priekšlikumu Eiropas Parlamentam un Padomei (COM(</w:t>
      </w:r>
      <w:r w:rsidRPr="004455B2">
        <w:t>2023</w:t>
      </w:r>
      <w:r w:rsidRPr="0054256B">
        <w:t>)</w:t>
      </w:r>
      <w:r w:rsidRPr="004455B2">
        <w:t>0088</w:t>
      </w:r>
      <w:r w:rsidRPr="0054256B">
        <w:t>),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 xml:space="preserve">ņemot vērā Līguma par Eiropas Savienības darbību </w:t>
      </w:r>
      <w:r w:rsidRPr="004455B2">
        <w:t>294</w:t>
      </w:r>
      <w:r w:rsidRPr="0054256B">
        <w:t xml:space="preserve">. panta </w:t>
      </w:r>
      <w:r w:rsidRPr="004455B2">
        <w:t>2</w:t>
      </w:r>
      <w:r w:rsidRPr="0054256B">
        <w:t xml:space="preserve">. punktu un </w:t>
      </w:r>
      <w:r w:rsidRPr="004455B2">
        <w:t>192</w:t>
      </w:r>
      <w:r w:rsidRPr="0054256B">
        <w:t xml:space="preserve">. panta </w:t>
      </w:r>
      <w:r w:rsidRPr="004455B2">
        <w:t>1</w:t>
      </w:r>
      <w:r w:rsidRPr="0054256B">
        <w:t>. punktu, saskaņā ar kuru Komisija tam ir iesniegusi priekšlikumu (C</w:t>
      </w:r>
      <w:r w:rsidRPr="004455B2">
        <w:t>9</w:t>
      </w:r>
      <w:r w:rsidRPr="0054256B">
        <w:t>-</w:t>
      </w:r>
      <w:r w:rsidRPr="004455B2">
        <w:t>0025</w:t>
      </w:r>
      <w:r w:rsidRPr="0054256B">
        <w:t>/</w:t>
      </w:r>
      <w:r w:rsidRPr="004455B2">
        <w:t>2023</w:t>
      </w:r>
      <w:r w:rsidRPr="0054256B">
        <w:t>),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>ņemot vērā pamatoto atzinumu, kuru saskaņā ar Protokolu Nr. </w:t>
      </w:r>
      <w:r w:rsidRPr="004455B2">
        <w:t>2</w:t>
      </w:r>
      <w:r w:rsidRPr="0054256B">
        <w:t xml:space="preserve"> par subsidiaritātes principa un proporcionalitātes principa piemērošanu iesniegusi Itālijas parlamenta Deputātu palāta un Itālijas Senāts un kuros norādīts, ka leģislatīvā akta projekts neatbilst subsidiaritātes principam,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 xml:space="preserve">ņemot vērā Eiropas Ekonomikas un sociālo lietu komitejas </w:t>
      </w:r>
      <w:r w:rsidRPr="004455B2">
        <w:t>2023</w:t>
      </w:r>
      <w:r w:rsidRPr="0054256B">
        <w:t xml:space="preserve">. gada </w:t>
      </w:r>
      <w:r w:rsidRPr="004455B2">
        <w:t>12</w:t>
      </w:r>
      <w:r w:rsidRPr="0054256B">
        <w:t>. jūlija atzinumu</w:t>
      </w:r>
      <w:r w:rsidRPr="0054256B">
        <w:rPr>
          <w:rStyle w:val="FootnoteReference"/>
        </w:rPr>
        <w:footnoteReference w:id="1"/>
      </w:r>
      <w:r w:rsidRPr="0054256B">
        <w:t>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>pēc apspriešanās ar Reģionu komiteju,</w:t>
      </w:r>
    </w:p>
    <w:p w:rsidR="00812BA2" w:rsidRPr="0054256B" w:rsidRDefault="00812BA2" w:rsidP="00EC7DD9">
      <w:pPr>
        <w:pStyle w:val="NormalHanging12a"/>
      </w:pPr>
      <w:r w:rsidRPr="0054256B">
        <w:t>–</w:t>
      </w:r>
      <w:r w:rsidRPr="0054256B">
        <w:tab/>
        <w:t xml:space="preserve">ņemot vērā provizorisko vienošanos, ko atbildīgā komiteja apstiprināja saskaņā ar Reglamenta </w:t>
      </w:r>
      <w:r w:rsidRPr="004455B2">
        <w:t>74</w:t>
      </w:r>
      <w:r w:rsidRPr="0054256B">
        <w:t xml:space="preserve">. panta </w:t>
      </w:r>
      <w:r w:rsidRPr="004455B2">
        <w:t>4</w:t>
      </w:r>
      <w:r w:rsidRPr="0054256B">
        <w:t xml:space="preserve">. punktu, un Padomes pārstāvja </w:t>
      </w:r>
      <w:r w:rsidRPr="004455B2">
        <w:t>2024</w:t>
      </w:r>
      <w:r w:rsidRPr="0054256B">
        <w:t xml:space="preserve">. gada </w:t>
      </w:r>
      <w:r w:rsidRPr="004455B2">
        <w:t>9</w:t>
      </w:r>
      <w:r w:rsidRPr="0054256B">
        <w:t xml:space="preserve">. februāra vēstulē pausto apņemšanos apstiprināt Parlamenta nostāju saskaņā ar Līguma par Eiropas Savienības darbību </w:t>
      </w:r>
      <w:r w:rsidRPr="004455B2">
        <w:t>294</w:t>
      </w:r>
      <w:r w:rsidRPr="0054256B">
        <w:t xml:space="preserve">. panta </w:t>
      </w:r>
      <w:r w:rsidRPr="004455B2">
        <w:t>4</w:t>
      </w:r>
      <w:r w:rsidRPr="0054256B">
        <w:t>. punktu,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 xml:space="preserve">ņemot vērā Reglamenta </w:t>
      </w:r>
      <w:r w:rsidRPr="004455B2">
        <w:t>59</w:t>
      </w:r>
      <w:r w:rsidRPr="0054256B">
        <w:t>. pantu,</w:t>
      </w:r>
    </w:p>
    <w:p w:rsidR="00EC7DD9" w:rsidRPr="0054256B" w:rsidRDefault="00EC7DD9" w:rsidP="00EC7DD9">
      <w:pPr>
        <w:pStyle w:val="NormalHanging12a"/>
      </w:pPr>
      <w:r w:rsidRPr="0054256B">
        <w:lastRenderedPageBreak/>
        <w:t>–</w:t>
      </w:r>
      <w:r w:rsidRPr="0054256B">
        <w:tab/>
        <w:t>ņemot vērā Transporta un tūrisma komitejas un Rūpniecības, pētniecības un enerģētikas komitejas atzinumus,</w:t>
      </w:r>
    </w:p>
    <w:p w:rsidR="00EC7DD9" w:rsidRPr="0054256B" w:rsidRDefault="00EC7DD9" w:rsidP="00EC7DD9">
      <w:pPr>
        <w:pStyle w:val="NormalHanging12a"/>
      </w:pPr>
      <w:r w:rsidRPr="0054256B">
        <w:t>–</w:t>
      </w:r>
      <w:r w:rsidRPr="0054256B">
        <w:tab/>
        <w:t>ņemot vērā Vides, sabiedrības veselības un pārtikas nekaitīguma komitejas ziņojumu (A</w:t>
      </w:r>
      <w:r w:rsidRPr="004455B2">
        <w:t>9</w:t>
      </w:r>
      <w:r w:rsidRPr="0054256B">
        <w:noBreakHyphen/>
      </w:r>
      <w:r w:rsidRPr="004455B2">
        <w:t>0313</w:t>
      </w:r>
      <w:r w:rsidRPr="0054256B">
        <w:t>/</w:t>
      </w:r>
      <w:r w:rsidRPr="004455B2">
        <w:t>2023</w:t>
      </w:r>
      <w:r w:rsidRPr="0054256B">
        <w:t>),</w:t>
      </w:r>
    </w:p>
    <w:p w:rsidR="00EC7DD9" w:rsidRPr="0054256B" w:rsidRDefault="00EC7DD9" w:rsidP="00EC7DD9">
      <w:pPr>
        <w:pStyle w:val="NormalHanging12a"/>
      </w:pPr>
      <w:r w:rsidRPr="004455B2">
        <w:t>1</w:t>
      </w:r>
      <w:r w:rsidRPr="0054256B">
        <w:t>.</w:t>
      </w:r>
      <w:r w:rsidRPr="0054256B">
        <w:tab/>
        <w:t>pieņem pirmajā lasījumā turpmāk izklāstīto nostāju</w:t>
      </w:r>
      <w:r w:rsidR="00812BA2" w:rsidRPr="0054256B">
        <w:rPr>
          <w:rStyle w:val="FootnoteReference"/>
        </w:rPr>
        <w:footnoteReference w:id="2"/>
      </w:r>
      <w:r w:rsidRPr="0054256B">
        <w:t>;</w:t>
      </w:r>
    </w:p>
    <w:p w:rsidR="00EC7DD9" w:rsidRPr="0054256B" w:rsidRDefault="00812BA2" w:rsidP="00EC7DD9">
      <w:pPr>
        <w:pStyle w:val="NormalHanging12a"/>
      </w:pPr>
      <w:r w:rsidRPr="004455B2">
        <w:t>2</w:t>
      </w:r>
      <w:r w:rsidR="00EC7DD9" w:rsidRPr="0054256B">
        <w:t>.</w:t>
      </w:r>
      <w:r w:rsidR="00EC7DD9" w:rsidRPr="0054256B">
        <w:tab/>
        <w:t>prasa Komisijai priekšlikumu Parlamentam iesniegt vēlreiz, ja tā savu priekšlikumu aizstāj, būtiski groza vai ir paredzējusi to būtiski grozīt;</w:t>
      </w:r>
    </w:p>
    <w:p w:rsidR="00812BA2" w:rsidRPr="0054256B" w:rsidRDefault="00812BA2" w:rsidP="00EC7DD9">
      <w:pPr>
        <w:pStyle w:val="NormalHanging12a"/>
        <w:sectPr w:rsidR="00812BA2" w:rsidRPr="0054256B" w:rsidSect="00517A6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455B2">
        <w:t>3</w:t>
      </w:r>
      <w:r w:rsidR="00EC7DD9" w:rsidRPr="0054256B">
        <w:t>.</w:t>
      </w:r>
      <w:r w:rsidR="00EC7DD9" w:rsidRPr="0054256B">
        <w:tab/>
        <w:t>uzdod priekšsēdētājai Parlamenta nostāju nosūtīt Padomei un Komisijai, kā arī dalībvalstu parlamentiem.</w:t>
      </w:r>
    </w:p>
    <w:p w:rsidR="00812BA2" w:rsidRPr="0054256B" w:rsidRDefault="00812BA2" w:rsidP="00812BA2">
      <w:pPr>
        <w:pStyle w:val="Normal12Hanging"/>
        <w:tabs>
          <w:tab w:val="left" w:pos="357"/>
        </w:tabs>
        <w:rPr>
          <w:b/>
        </w:rPr>
      </w:pPr>
      <w:r w:rsidRPr="0054256B">
        <w:rPr>
          <w:b/>
        </w:rPr>
        <w:lastRenderedPageBreak/>
        <w:t>P</w:t>
      </w:r>
      <w:r w:rsidRPr="004455B2">
        <w:rPr>
          <w:b/>
        </w:rPr>
        <w:t>9</w:t>
      </w:r>
      <w:r w:rsidRPr="0054256B">
        <w:rPr>
          <w:b/>
        </w:rPr>
        <w:t>_TC</w:t>
      </w:r>
      <w:r w:rsidRPr="004455B2">
        <w:rPr>
          <w:b/>
        </w:rPr>
        <w:t>1</w:t>
      </w:r>
      <w:r w:rsidRPr="0054256B">
        <w:rPr>
          <w:b/>
        </w:rPr>
        <w:t>-COD(</w:t>
      </w:r>
      <w:r w:rsidRPr="004455B2">
        <w:rPr>
          <w:rFonts w:eastAsia="Calibri"/>
          <w:b/>
          <w:bCs/>
          <w:color w:val="000000"/>
          <w:szCs w:val="24"/>
        </w:rPr>
        <w:t>2023</w:t>
      </w:r>
      <w:r w:rsidRPr="0054256B">
        <w:rPr>
          <w:rFonts w:eastAsia="Calibri"/>
          <w:b/>
          <w:bCs/>
          <w:color w:val="000000"/>
          <w:szCs w:val="24"/>
        </w:rPr>
        <w:t>)</w:t>
      </w:r>
      <w:r w:rsidRPr="004455B2">
        <w:rPr>
          <w:rFonts w:eastAsia="Calibri"/>
          <w:b/>
          <w:bCs/>
          <w:color w:val="000000"/>
          <w:szCs w:val="24"/>
        </w:rPr>
        <w:t>0042</w:t>
      </w:r>
    </w:p>
    <w:p w:rsidR="00812BA2" w:rsidRDefault="00812BA2" w:rsidP="00812BA2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54256B">
        <w:rPr>
          <w:b/>
        </w:rPr>
        <w:t xml:space="preserve">Eiropas Parlamenta nostāja, pieņemta pirmajā lasījumā </w:t>
      </w:r>
      <w:r w:rsidRPr="004455B2">
        <w:rPr>
          <w:b/>
        </w:rPr>
        <w:t>2024</w:t>
      </w:r>
      <w:r w:rsidRPr="0054256B">
        <w:rPr>
          <w:b/>
        </w:rPr>
        <w:t xml:space="preserve">. gada </w:t>
      </w:r>
      <w:r w:rsidRPr="004455B2">
        <w:rPr>
          <w:b/>
        </w:rPr>
        <w:t>10</w:t>
      </w:r>
      <w:r w:rsidRPr="0054256B">
        <w:rPr>
          <w:b/>
        </w:rPr>
        <w:t xml:space="preserve">. aprīlī, lai pieņemtu Eiropas Parlamenta un Padomes Regulu (ES) </w:t>
      </w:r>
      <w:r w:rsidRPr="004455B2">
        <w:rPr>
          <w:b/>
        </w:rPr>
        <w:t>2024</w:t>
      </w:r>
      <w:r w:rsidRPr="0054256B">
        <w:rPr>
          <w:b/>
        </w:rPr>
        <w:t xml:space="preserve">/..., </w:t>
      </w:r>
      <w:r w:rsidR="006021DA">
        <w:rPr>
          <w:b/>
          <w:bCs/>
          <w:color w:val="000000"/>
          <w:shd w:val="clear" w:color="auto" w:fill="FFFFFF"/>
        </w:rPr>
        <w:t>ar ko groza Regulu (ES) 2019/1242 attiecībā uz CO</w:t>
      </w:r>
      <w:r w:rsidR="006021DA">
        <w:rPr>
          <w:rStyle w:val="oj-sub"/>
          <w:b/>
          <w:bCs/>
          <w:color w:val="000000"/>
          <w:sz w:val="17"/>
          <w:szCs w:val="17"/>
          <w:shd w:val="clear" w:color="auto" w:fill="FFFFFF"/>
          <w:vertAlign w:val="subscript"/>
        </w:rPr>
        <w:t>2</w:t>
      </w:r>
      <w:r w:rsidR="006021DA">
        <w:rPr>
          <w:b/>
          <w:bCs/>
          <w:color w:val="000000"/>
          <w:shd w:val="clear" w:color="auto" w:fill="FFFFFF"/>
        </w:rPr>
        <w:t xml:space="preserve"> emisiju standartu pastiprināšanu jauniem lielas noslodzes transportlīdzekļiem un ziņošanas pienākumu integrēšanu un ar ko groza </w:t>
      </w:r>
      <w:bookmarkStart w:id="7" w:name="_GoBack"/>
      <w:bookmarkEnd w:id="7"/>
      <w:r w:rsidR="006021DA">
        <w:rPr>
          <w:b/>
          <w:bCs/>
          <w:color w:val="000000"/>
          <w:shd w:val="clear" w:color="auto" w:fill="FFFFFF"/>
        </w:rPr>
        <w:t>Regulu (ES) 2018/858 un atceļ Regulu (ES) 2018/956</w:t>
      </w:r>
      <w:r w:rsidRPr="0054256B">
        <w:rPr>
          <w:rFonts w:eastAsia="Calibri"/>
          <w:b/>
          <w:szCs w:val="22"/>
          <w:lang w:eastAsia="en-US"/>
        </w:rPr>
        <w:t xml:space="preserve"> </w:t>
      </w:r>
    </w:p>
    <w:p w:rsidR="006021DA" w:rsidRPr="006021DA" w:rsidRDefault="006021DA" w:rsidP="00812BA2">
      <w:pPr>
        <w:pStyle w:val="NormalHanging12a"/>
        <w:ind w:left="0" w:firstLine="0"/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Regulai </w:t>
      </w:r>
      <w:r w:rsidRPr="006021DA">
        <w:rPr>
          <w:i/>
        </w:rPr>
        <w:t xml:space="preserve">(ES) </w:t>
      </w:r>
      <w:r w:rsidRPr="006021DA">
        <w:rPr>
          <w:i/>
        </w:rPr>
        <w:t>2024/1610</w:t>
      </w:r>
      <w:r w:rsidRPr="006021DA">
        <w:rPr>
          <w:i/>
        </w:rPr>
        <w:t>.)</w:t>
      </w:r>
    </w:p>
    <w:sectPr w:rsidR="006021DA" w:rsidRPr="006021DA" w:rsidSect="00517A6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A2" w:rsidRPr="00517A6E" w:rsidRDefault="00812BA2">
      <w:r w:rsidRPr="00517A6E">
        <w:separator/>
      </w:r>
    </w:p>
  </w:endnote>
  <w:endnote w:type="continuationSeparator" w:id="0">
    <w:p w:rsidR="00812BA2" w:rsidRPr="00517A6E" w:rsidRDefault="00812BA2">
      <w:r w:rsidRPr="00517A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A2" w:rsidRPr="00517A6E" w:rsidRDefault="00812BA2">
      <w:r w:rsidRPr="00517A6E">
        <w:separator/>
      </w:r>
    </w:p>
  </w:footnote>
  <w:footnote w:type="continuationSeparator" w:id="0">
    <w:p w:rsidR="00812BA2" w:rsidRPr="00517A6E" w:rsidRDefault="00812BA2">
      <w:r w:rsidRPr="00517A6E">
        <w:continuationSeparator/>
      </w:r>
    </w:p>
  </w:footnote>
  <w:footnote w:id="1">
    <w:p w:rsidR="00812BA2" w:rsidRPr="00517A6E" w:rsidRDefault="00812BA2" w:rsidP="0054256B">
      <w:pPr>
        <w:pStyle w:val="FootnoteText"/>
        <w:ind w:left="709" w:hanging="709"/>
        <w:rPr>
          <w:sz w:val="24"/>
          <w:lang w:val="lv-LV"/>
        </w:rPr>
      </w:pPr>
      <w:r w:rsidRPr="00517A6E">
        <w:rPr>
          <w:rStyle w:val="FootnoteReference"/>
          <w:sz w:val="24"/>
          <w:lang w:val="lv-LV"/>
        </w:rPr>
        <w:footnoteRef/>
      </w:r>
      <w:r w:rsidRPr="00517A6E">
        <w:rPr>
          <w:i/>
          <w:sz w:val="24"/>
          <w:lang w:val="lv-LV"/>
        </w:rPr>
        <w:t xml:space="preserve"> </w:t>
      </w:r>
      <w:r w:rsidRPr="00517A6E">
        <w:rPr>
          <w:i/>
          <w:sz w:val="24"/>
          <w:lang w:val="lv-LV"/>
        </w:rPr>
        <w:tab/>
      </w:r>
      <w:r w:rsidRPr="0054256B">
        <w:rPr>
          <w:sz w:val="24"/>
          <w:szCs w:val="24"/>
          <w:lang w:val="en-GB"/>
        </w:rPr>
        <w:t>O</w:t>
      </w:r>
      <w:r>
        <w:rPr>
          <w:sz w:val="24"/>
          <w:szCs w:val="24"/>
          <w:lang w:val="en-GB"/>
        </w:rPr>
        <w:t>V</w:t>
      </w:r>
      <w:r w:rsidRPr="0054256B">
        <w:rPr>
          <w:sz w:val="24"/>
          <w:szCs w:val="24"/>
          <w:lang w:val="en-GB"/>
        </w:rPr>
        <w:t xml:space="preserve"> C </w:t>
      </w:r>
      <w:r w:rsidRPr="004455B2">
        <w:rPr>
          <w:sz w:val="24"/>
          <w:szCs w:val="24"/>
          <w:lang w:val="en-GB"/>
        </w:rPr>
        <w:t>349</w:t>
      </w:r>
      <w:r w:rsidRPr="0054256B">
        <w:rPr>
          <w:sz w:val="24"/>
          <w:szCs w:val="24"/>
          <w:lang w:val="en-GB"/>
        </w:rPr>
        <w:t xml:space="preserve">, </w:t>
      </w:r>
      <w:r w:rsidRPr="004455B2">
        <w:rPr>
          <w:sz w:val="24"/>
          <w:szCs w:val="24"/>
          <w:lang w:val="en-GB"/>
        </w:rPr>
        <w:t>29</w:t>
      </w:r>
      <w:r w:rsidRPr="0054256B">
        <w:rPr>
          <w:sz w:val="24"/>
          <w:szCs w:val="24"/>
          <w:lang w:val="en-GB"/>
        </w:rPr>
        <w:t>.</w:t>
      </w:r>
      <w:r w:rsidRPr="004455B2">
        <w:rPr>
          <w:sz w:val="24"/>
          <w:szCs w:val="24"/>
          <w:lang w:val="en-GB"/>
        </w:rPr>
        <w:t>9</w:t>
      </w:r>
      <w:r w:rsidRPr="0054256B">
        <w:rPr>
          <w:sz w:val="24"/>
          <w:szCs w:val="24"/>
          <w:lang w:val="en-GB"/>
        </w:rPr>
        <w:t>.</w:t>
      </w:r>
      <w:r w:rsidRPr="004455B2">
        <w:rPr>
          <w:sz w:val="24"/>
          <w:szCs w:val="24"/>
          <w:lang w:val="en-GB"/>
        </w:rPr>
        <w:t>2023</w:t>
      </w:r>
      <w:r>
        <w:rPr>
          <w:sz w:val="24"/>
          <w:szCs w:val="24"/>
          <w:lang w:val="en-GB"/>
        </w:rPr>
        <w:t>.</w:t>
      </w:r>
      <w:r w:rsidRPr="0054256B">
        <w:rPr>
          <w:sz w:val="24"/>
          <w:szCs w:val="24"/>
          <w:lang w:val="en-GB"/>
        </w:rPr>
        <w:t xml:space="preserve">, </w:t>
      </w:r>
      <w:r w:rsidRPr="004455B2">
        <w:rPr>
          <w:sz w:val="24"/>
          <w:szCs w:val="24"/>
          <w:lang w:val="en-GB"/>
        </w:rPr>
        <w:t>134</w:t>
      </w:r>
      <w:r w:rsidRPr="00812BA2">
        <w:rPr>
          <w:sz w:val="24"/>
          <w:lang w:val="lv-LV"/>
        </w:rPr>
        <w:t>.</w:t>
      </w:r>
      <w:r>
        <w:rPr>
          <w:sz w:val="24"/>
          <w:lang w:val="lv-LV"/>
        </w:rPr>
        <w:t xml:space="preserve"> lpp.</w:t>
      </w:r>
    </w:p>
  </w:footnote>
  <w:footnote w:id="2">
    <w:p w:rsidR="00812BA2" w:rsidRPr="0054256B" w:rsidRDefault="00812BA2" w:rsidP="0054256B">
      <w:pPr>
        <w:pStyle w:val="FootnoteText"/>
        <w:ind w:left="709" w:hanging="709"/>
        <w:rPr>
          <w:sz w:val="24"/>
          <w:szCs w:val="24"/>
          <w:lang w:val="lv-LV"/>
        </w:rPr>
      </w:pPr>
      <w:r w:rsidRPr="0054256B">
        <w:rPr>
          <w:rStyle w:val="FootnoteReference"/>
        </w:rPr>
        <w:footnoteRef/>
      </w:r>
      <w:r w:rsidRPr="0054256B">
        <w:rPr>
          <w:sz w:val="24"/>
          <w:szCs w:val="24"/>
          <w:lang w:val="lv-LV"/>
        </w:rPr>
        <w:t xml:space="preserve"> </w:t>
      </w:r>
      <w:r w:rsidRPr="0054256B">
        <w:rPr>
          <w:sz w:val="24"/>
          <w:szCs w:val="24"/>
          <w:lang w:val="lv-LV"/>
        </w:rPr>
        <w:tab/>
        <w:t xml:space="preserve">Ar šo nostāju aizstāj </w:t>
      </w:r>
      <w:r w:rsidRPr="004455B2">
        <w:rPr>
          <w:sz w:val="24"/>
          <w:szCs w:val="24"/>
          <w:lang w:val="lv-LV"/>
        </w:rPr>
        <w:t>202</w:t>
      </w:r>
      <w:r w:rsidR="00030E45" w:rsidRPr="004455B2">
        <w:rPr>
          <w:sz w:val="24"/>
          <w:szCs w:val="24"/>
          <w:lang w:val="lv-LV"/>
        </w:rPr>
        <w:t>3</w:t>
      </w:r>
      <w:r w:rsidRPr="0054256B">
        <w:rPr>
          <w:sz w:val="24"/>
          <w:szCs w:val="24"/>
          <w:lang w:val="lv-LV"/>
        </w:rPr>
        <w:t xml:space="preserve">. gada </w:t>
      </w:r>
      <w:r w:rsidR="00030E45" w:rsidRPr="004455B2">
        <w:rPr>
          <w:sz w:val="24"/>
          <w:szCs w:val="24"/>
          <w:lang w:val="lv-LV"/>
        </w:rPr>
        <w:t>21</w:t>
      </w:r>
      <w:r w:rsidRPr="0054256B">
        <w:rPr>
          <w:sz w:val="24"/>
          <w:szCs w:val="24"/>
          <w:lang w:val="lv-LV"/>
        </w:rPr>
        <w:t xml:space="preserve">. </w:t>
      </w:r>
      <w:r w:rsidR="00030E45">
        <w:rPr>
          <w:sz w:val="24"/>
          <w:szCs w:val="24"/>
          <w:lang w:val="lv-LV"/>
        </w:rPr>
        <w:t>novembrī</w:t>
      </w:r>
      <w:r w:rsidRPr="0054256B">
        <w:rPr>
          <w:sz w:val="24"/>
          <w:szCs w:val="24"/>
          <w:lang w:val="lv-LV"/>
        </w:rPr>
        <w:t xml:space="preserve"> pieņemto</w:t>
      </w:r>
      <w:r w:rsidRPr="00812BA2">
        <w:rPr>
          <w:sz w:val="24"/>
          <w:szCs w:val="24"/>
          <w:lang w:val="lv-LV"/>
        </w:rPr>
        <w:t>s grozījumus (Pieņemtie teksti,</w:t>
      </w:r>
      <w:r w:rsidRPr="0054256B">
        <w:rPr>
          <w:sz w:val="24"/>
          <w:szCs w:val="24"/>
          <w:lang w:val="lv-LV"/>
        </w:rPr>
        <w:t xml:space="preserve"> P</w:t>
      </w:r>
      <w:r w:rsidRPr="004455B2">
        <w:rPr>
          <w:sz w:val="24"/>
          <w:szCs w:val="24"/>
          <w:lang w:val="lv-LV"/>
        </w:rPr>
        <w:t>9</w:t>
      </w:r>
      <w:r w:rsidRPr="0054256B">
        <w:rPr>
          <w:sz w:val="24"/>
          <w:szCs w:val="24"/>
          <w:lang w:val="lv-LV"/>
        </w:rPr>
        <w:t>_TA(</w:t>
      </w:r>
      <w:r w:rsidRPr="004455B2">
        <w:rPr>
          <w:sz w:val="24"/>
          <w:szCs w:val="24"/>
          <w:lang w:val="lv-LV"/>
        </w:rPr>
        <w:t>2023</w:t>
      </w:r>
      <w:r w:rsidRPr="0054256B">
        <w:rPr>
          <w:sz w:val="24"/>
          <w:szCs w:val="24"/>
          <w:lang w:val="lv-LV"/>
        </w:rPr>
        <w:t>)</w:t>
      </w:r>
      <w:r w:rsidRPr="004455B2">
        <w:rPr>
          <w:sz w:val="24"/>
          <w:szCs w:val="24"/>
          <w:lang w:val="lv-LV"/>
        </w:rPr>
        <w:t>0403</w:t>
      </w:r>
      <w:r w:rsidRPr="0054256B">
        <w:rPr>
          <w:sz w:val="24"/>
          <w:szCs w:val="24"/>
          <w:lang w:val="lv-LV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ED20AACA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854679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4845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F60F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ACC6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D470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A8A7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D200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6C05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BE926A2C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8930A0B8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834958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78AE9D4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E70B31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106088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576AD93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4C223D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7D50CB8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07930D8"/>
    <w:multiLevelType w:val="multilevel"/>
    <w:tmpl w:val="1B0E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485118A9"/>
    <w:multiLevelType w:val="hybridMultilevel"/>
    <w:tmpl w:val="A2725D62"/>
    <w:lvl w:ilvl="0" w:tplc="FAB496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4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5D60B10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8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5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8" w15:restartNumberingAfterBreak="0">
    <w:nsid w:val="7DF7373E"/>
    <w:multiLevelType w:val="hybridMultilevel"/>
    <w:tmpl w:val="E1F64F4E"/>
    <w:lvl w:ilvl="0" w:tplc="0332158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23A6F604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88F0DA04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777A100E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61988B66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47528B24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6E484D5C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408CA096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AACAA56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9"/>
  </w:num>
  <w:num w:numId="4">
    <w:abstractNumId w:val="1"/>
  </w:num>
  <w:num w:numId="5">
    <w:abstractNumId w:val="30"/>
  </w:num>
  <w:num w:numId="6">
    <w:abstractNumId w:val="24"/>
  </w:num>
  <w:num w:numId="7">
    <w:abstractNumId w:val="3"/>
  </w:num>
  <w:num w:numId="8">
    <w:abstractNumId w:val="35"/>
  </w:num>
  <w:num w:numId="9">
    <w:abstractNumId w:val="37"/>
  </w:num>
  <w:num w:numId="10">
    <w:abstractNumId w:val="21"/>
  </w:num>
  <w:num w:numId="11">
    <w:abstractNumId w:val="33"/>
  </w:num>
  <w:num w:numId="12">
    <w:abstractNumId w:val="27"/>
  </w:num>
  <w:num w:numId="13">
    <w:abstractNumId w:val="18"/>
  </w:num>
  <w:num w:numId="14">
    <w:abstractNumId w:val="7"/>
  </w:num>
  <w:num w:numId="15">
    <w:abstractNumId w:val="6"/>
  </w:num>
  <w:num w:numId="16">
    <w:abstractNumId w:val="28"/>
  </w:num>
  <w:num w:numId="17">
    <w:abstractNumId w:val="36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2"/>
  </w:num>
  <w:num w:numId="23">
    <w:abstractNumId w:val="23"/>
  </w:num>
  <w:num w:numId="24">
    <w:abstractNumId w:val="31"/>
  </w:num>
  <w:num w:numId="25">
    <w:abstractNumId w:val="25"/>
  </w:num>
  <w:num w:numId="26">
    <w:abstractNumId w:val="32"/>
  </w:num>
  <w:num w:numId="27">
    <w:abstractNumId w:val="34"/>
  </w:num>
  <w:num w:numId="28">
    <w:abstractNumId w:val="15"/>
  </w:num>
  <w:num w:numId="29">
    <w:abstractNumId w:val="12"/>
  </w:num>
  <w:num w:numId="30">
    <w:abstractNumId w:val="20"/>
  </w:num>
  <w:num w:numId="31">
    <w:abstractNumId w:val="26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8"/>
  </w:num>
  <w:num w:numId="37">
    <w:abstractNumId w:val="13"/>
  </w:num>
  <w:num w:numId="38">
    <w:abstractNumId w:val="19"/>
  </w:num>
  <w:num w:numId="39">
    <w:abstractNumId w:val="17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LV"/>
    <w:docVar w:name="dvnumam" w:val="216"/>
    <w:docVar w:name="dvpe" w:val="746.858"/>
    <w:docVar w:name="dvrapporteur" w:val="Referents: "/>
    <w:docVar w:name="dvstar" w:val="***I"/>
    <w:docVar w:name="dvtitre" w:val="Eiropas Parlamenta 2024. gada XX. XXX normatīvā rezolūcija par priekšlikumu Eiropas Parlamenta un Padomes regulai, ar ko Regulu (ES) 2019/1242 groza attiecībā uz CO₂ emisiju standartu pastiprināšanu jauniem lielas noslodzes transportlīdzekļiem un ziņošanas pienākumu integrēšanu un ar ko atceļ Regulu (ES) 2018/956(COM(2023)0088) – C9-0025/2023 – 2023/0042(COD))"/>
  </w:docVars>
  <w:rsids>
    <w:rsidRoot w:val="003F1FB5"/>
    <w:rsid w:val="00002272"/>
    <w:rsid w:val="00030E45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3BE6"/>
    <w:rsid w:val="00343214"/>
    <w:rsid w:val="00361C00"/>
    <w:rsid w:val="00395FA1"/>
    <w:rsid w:val="003E15D4"/>
    <w:rsid w:val="003F1FB5"/>
    <w:rsid w:val="00411CCE"/>
    <w:rsid w:val="0041666E"/>
    <w:rsid w:val="00421060"/>
    <w:rsid w:val="004455B2"/>
    <w:rsid w:val="00471C19"/>
    <w:rsid w:val="004867E3"/>
    <w:rsid w:val="00494A28"/>
    <w:rsid w:val="004C0004"/>
    <w:rsid w:val="004C5D52"/>
    <w:rsid w:val="0050519A"/>
    <w:rsid w:val="005072A1"/>
    <w:rsid w:val="00514517"/>
    <w:rsid w:val="00517A6E"/>
    <w:rsid w:val="0054256B"/>
    <w:rsid w:val="00545827"/>
    <w:rsid w:val="00560270"/>
    <w:rsid w:val="005C2568"/>
    <w:rsid w:val="006021DA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2BA2"/>
    <w:rsid w:val="00817416"/>
    <w:rsid w:val="00842779"/>
    <w:rsid w:val="00865F67"/>
    <w:rsid w:val="00881A7B"/>
    <w:rsid w:val="008840E5"/>
    <w:rsid w:val="00887B3E"/>
    <w:rsid w:val="008C2AC6"/>
    <w:rsid w:val="00900AC1"/>
    <w:rsid w:val="00930C23"/>
    <w:rsid w:val="0093193B"/>
    <w:rsid w:val="009509D8"/>
    <w:rsid w:val="00950B64"/>
    <w:rsid w:val="00981893"/>
    <w:rsid w:val="009C483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1DED"/>
    <w:rsid w:val="00E820A4"/>
    <w:rsid w:val="00EB006A"/>
    <w:rsid w:val="00EB4772"/>
    <w:rsid w:val="00EC7DD9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E9C4E"/>
  <w15:chartTrackingRefBased/>
  <w15:docId w15:val="{827A3C63-3352-4426-A44E-E6552A1C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C7DD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C7DD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C7DD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DD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DD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DD9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DD9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uiPriority w:val="99"/>
    <w:rsid w:val="00EC7DD9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uiPriority w:val="99"/>
    <w:rsid w:val="00EC7DD9"/>
    <w:rPr>
      <w:rFonts w:ascii="Arial" w:hAnsi="Arial"/>
      <w:b/>
      <w:i/>
      <w:sz w:val="18"/>
      <w:lang w:val="lv-LV"/>
    </w:rPr>
  </w:style>
  <w:style w:type="paragraph" w:styleId="TOCHeading">
    <w:name w:val="TOC Heading"/>
    <w:basedOn w:val="Normal"/>
    <w:next w:val="Normal"/>
    <w:uiPriority w:val="39"/>
    <w:unhideWhenUsed/>
    <w:qFormat/>
    <w:rsid w:val="00EC7DD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C7DD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C7DD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C7DD9"/>
    <w:pPr>
      <w:spacing w:after="120"/>
    </w:pPr>
  </w:style>
  <w:style w:type="paragraph" w:customStyle="1" w:styleId="PageHeading">
    <w:name w:val="PageHeading"/>
    <w:basedOn w:val="Normal"/>
    <w:rsid w:val="00EC7DD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C7DD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C7DD9"/>
    <w:rPr>
      <w:b/>
      <w:sz w:val="24"/>
      <w:lang w:val="lv-LV"/>
    </w:rPr>
  </w:style>
  <w:style w:type="paragraph" w:customStyle="1" w:styleId="NormalBold12a">
    <w:name w:val="NormalBold12a"/>
    <w:basedOn w:val="Normal"/>
    <w:rsid w:val="00EC7DD9"/>
    <w:pPr>
      <w:spacing w:after="240"/>
    </w:pPr>
    <w:rPr>
      <w:b/>
    </w:rPr>
  </w:style>
  <w:style w:type="paragraph" w:customStyle="1" w:styleId="AmJustText">
    <w:name w:val="AmJustText"/>
    <w:basedOn w:val="Normal"/>
    <w:rsid w:val="00EC7DD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C7DD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C7DD9"/>
    <w:pPr>
      <w:spacing w:after="480"/>
      <w:ind w:left="1417"/>
    </w:pPr>
  </w:style>
  <w:style w:type="paragraph" w:customStyle="1" w:styleId="CoverNormal">
    <w:name w:val="CoverNormal"/>
    <w:basedOn w:val="Normal"/>
    <w:rsid w:val="00EC7DD9"/>
    <w:pPr>
      <w:ind w:left="1418"/>
    </w:pPr>
  </w:style>
  <w:style w:type="paragraph" w:customStyle="1" w:styleId="AmCrossRef">
    <w:name w:val="AmCrossRef"/>
    <w:basedOn w:val="Normal"/>
    <w:rsid w:val="00EC7DD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C7DD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C7DD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C7DD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C7DD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C7DD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C7D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DD9"/>
    <w:rPr>
      <w:sz w:val="24"/>
      <w:lang w:val="lv-LV"/>
    </w:rPr>
  </w:style>
  <w:style w:type="paragraph" w:customStyle="1" w:styleId="AmOrLang">
    <w:name w:val="AmOrLang"/>
    <w:basedOn w:val="Normal"/>
    <w:rsid w:val="00EC7DD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C7DD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C7DD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C7DD9"/>
    <w:pPr>
      <w:spacing w:before="240"/>
    </w:pPr>
    <w:rPr>
      <w:b/>
    </w:rPr>
  </w:style>
  <w:style w:type="paragraph" w:customStyle="1" w:styleId="EPBody">
    <w:name w:val="EPBody"/>
    <w:basedOn w:val="Normal"/>
    <w:rsid w:val="00EC7DD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C7DD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C7DD9"/>
    <w:pPr>
      <w:spacing w:before="480" w:after="240"/>
    </w:pPr>
  </w:style>
  <w:style w:type="paragraph" w:customStyle="1" w:styleId="Lgendesigne">
    <w:name w:val="Légende signe"/>
    <w:basedOn w:val="Normal"/>
    <w:rsid w:val="00EC7DD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C7DD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C7DD9"/>
    <w:rPr>
      <w:sz w:val="18"/>
    </w:rPr>
  </w:style>
  <w:style w:type="paragraph" w:customStyle="1" w:styleId="Normal24a">
    <w:name w:val="Normal24a"/>
    <w:basedOn w:val="Normal"/>
    <w:rsid w:val="00EC7DD9"/>
    <w:pPr>
      <w:spacing w:after="480"/>
    </w:pPr>
  </w:style>
  <w:style w:type="paragraph" w:customStyle="1" w:styleId="NormalBoldCenter">
    <w:name w:val="NormalBoldCenter"/>
    <w:basedOn w:val="Normal"/>
    <w:rsid w:val="00EC7DD9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EC7D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C7DD9"/>
    <w:rPr>
      <w:rFonts w:ascii="Segoe UI" w:hAnsi="Segoe UI" w:cs="Segoe UI"/>
      <w:sz w:val="18"/>
      <w:szCs w:val="18"/>
      <w:lang w:val="lv-LV"/>
    </w:rPr>
  </w:style>
  <w:style w:type="character" w:customStyle="1" w:styleId="Normal6Char">
    <w:name w:val="Normal6 Char"/>
    <w:basedOn w:val="DefaultParagraphFont"/>
    <w:link w:val="Normal6"/>
    <w:locked/>
    <w:rsid w:val="00EC7DD9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EC7DD9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EC7DD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C7DD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EC7DD9"/>
    <w:pPr>
      <w:jc w:val="right"/>
    </w:pPr>
    <w:rPr>
      <w:lang w:val="lv-LV"/>
    </w:rPr>
  </w:style>
  <w:style w:type="paragraph" w:customStyle="1" w:styleId="msonormal0">
    <w:name w:val="msonormal"/>
    <w:basedOn w:val="Normal"/>
    <w:rsid w:val="00EC7DD9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EC7D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DD9"/>
    <w:rPr>
      <w:sz w:val="24"/>
      <w:lang w:val="lv-LV"/>
    </w:rPr>
  </w:style>
  <w:style w:type="character" w:customStyle="1" w:styleId="Normal12Char">
    <w:name w:val="Normal12 Char"/>
    <w:basedOn w:val="DefaultParagraphFont"/>
    <w:link w:val="Normal12"/>
    <w:locked/>
    <w:rsid w:val="00EC7DD9"/>
    <w:rPr>
      <w:noProof/>
      <w:sz w:val="24"/>
    </w:rPr>
  </w:style>
  <w:style w:type="paragraph" w:customStyle="1" w:styleId="Normal12">
    <w:name w:val="Normal12"/>
    <w:basedOn w:val="Normal"/>
    <w:link w:val="Normal12Char"/>
    <w:rsid w:val="00EC7DD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EC7DD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C7DD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C7DD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C7DD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C7DD9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EC7DD9"/>
    <w:rPr>
      <w:i/>
    </w:rPr>
  </w:style>
  <w:style w:type="paragraph" w:customStyle="1" w:styleId="JustificationTitle">
    <w:name w:val="JustificationTitle"/>
    <w:basedOn w:val="Normal"/>
    <w:next w:val="Normal12"/>
    <w:rsid w:val="00EC7DD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EC7DD9"/>
    <w:pPr>
      <w:spacing w:before="240"/>
      <w:jc w:val="center"/>
    </w:pPr>
    <w:rPr>
      <w:i/>
    </w:rPr>
  </w:style>
  <w:style w:type="character" w:customStyle="1" w:styleId="Footer2Middle">
    <w:name w:val="Footer2Middle"/>
    <w:rsid w:val="00EC7DD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EC7DD9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EC7DD9"/>
    <w:rPr>
      <w:rFonts w:asciiTheme="minorHAnsi" w:eastAsiaTheme="minorHAnsi" w:hAnsiTheme="minorHAnsi" w:cstheme="minorBidi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EC7D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7DD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C7DD9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C7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C7DD9"/>
    <w:rPr>
      <w:b/>
      <w:bCs/>
      <w:lang w:val="lv-LV"/>
    </w:rPr>
  </w:style>
  <w:style w:type="paragraph" w:customStyle="1" w:styleId="Normal12a">
    <w:name w:val="Normal12a"/>
    <w:basedOn w:val="Normal"/>
    <w:rsid w:val="00EC7DD9"/>
    <w:pPr>
      <w:spacing w:after="240"/>
    </w:pPr>
  </w:style>
  <w:style w:type="paragraph" w:customStyle="1" w:styleId="RollCallVotes">
    <w:name w:val="RollCallVotes"/>
    <w:basedOn w:val="Normal"/>
    <w:rsid w:val="00EC7DD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C7DD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C7DD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C7DD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C7DD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C7DD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C7DD9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EC7DD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lv-LV" w:eastAsia="en-US"/>
    </w:rPr>
  </w:style>
  <w:style w:type="character" w:customStyle="1" w:styleId="highlight-diff">
    <w:name w:val="highlight-diff"/>
    <w:basedOn w:val="DefaultParagraphFont"/>
    <w:rsid w:val="00EC7DD9"/>
  </w:style>
  <w:style w:type="character" w:customStyle="1" w:styleId="Hyperlink8">
    <w:name w:val="Hyperlink.8"/>
    <w:basedOn w:val="DefaultParagraphFont"/>
    <w:rsid w:val="00EC7DD9"/>
  </w:style>
  <w:style w:type="character" w:customStyle="1" w:styleId="None">
    <w:name w:val="None"/>
    <w:rsid w:val="00EC7DD9"/>
  </w:style>
  <w:style w:type="paragraph" w:customStyle="1" w:styleId="Normal12Hanging">
    <w:name w:val="Normal12Hanging"/>
    <w:basedOn w:val="Normal"/>
    <w:rsid w:val="00812BA2"/>
    <w:pPr>
      <w:spacing w:after="240"/>
      <w:ind w:left="567" w:hanging="567"/>
    </w:pPr>
    <w:rPr>
      <w:lang w:eastAsia="lv-LV" w:bidi="lv-LV"/>
    </w:rPr>
  </w:style>
  <w:style w:type="paragraph" w:customStyle="1" w:styleId="AmDocTypeTab">
    <w:name w:val="AmDocTypeTab"/>
    <w:basedOn w:val="Normal"/>
    <w:rsid w:val="00812BA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12BA2"/>
    <w:pPr>
      <w:spacing w:after="240"/>
      <w:jc w:val="center"/>
    </w:pPr>
  </w:style>
  <w:style w:type="paragraph" w:customStyle="1" w:styleId="AmDateTab">
    <w:name w:val="AmDateTab"/>
    <w:basedOn w:val="Normal"/>
    <w:rsid w:val="00812BA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12BA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12BA2"/>
  </w:style>
  <w:style w:type="paragraph" w:customStyle="1" w:styleId="NormalCentered">
    <w:name w:val="Normal Centered"/>
    <w:basedOn w:val="Normal"/>
    <w:rsid w:val="00812BA2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12BA2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12BA2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12BA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12BA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12BA2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12BA2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12BA2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12BA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12BA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812BA2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12BA2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12BA2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12BA2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12BA2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12BA2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12BA2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12BA2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12BA2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12BA2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12BA2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12BA2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12BA2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12BA2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12BA2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12BA2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12BA2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12BA2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12BA2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12BA2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12BA2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12BA2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12BA2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12BA2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12BA2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12BA2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12BA2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12BA2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12BA2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12BA2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12BA2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12BA2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12BA2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12BA2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12BA2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12BA2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12BA2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12BA2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12BA2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12BA2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12BA2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812BA2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812BA2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812BA2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812BA2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812BA2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12BA2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12BA2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12BA2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812BA2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812BA2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812BA2"/>
    <w:pPr>
      <w:jc w:val="center"/>
    </w:pPr>
  </w:style>
  <w:style w:type="paragraph" w:customStyle="1" w:styleId="Jardin">
    <w:name w:val="Jardin"/>
    <w:basedOn w:val="Normal"/>
    <w:rsid w:val="00812BA2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12BA2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12BA2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12BA2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12BA2"/>
    <w:rPr>
      <w:b/>
    </w:rPr>
  </w:style>
  <w:style w:type="paragraph" w:customStyle="1" w:styleId="Annex">
    <w:name w:val="Annex"/>
    <w:basedOn w:val="Normal"/>
    <w:next w:val="Normal"/>
    <w:rsid w:val="00812BA2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12BA2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12BA2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12BA2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12BA2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12BA2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12BA2"/>
    <w:rPr>
      <w:rFonts w:eastAsia="Calibri"/>
      <w:lang w:val="lv-LV" w:eastAsia="en-US"/>
    </w:rPr>
  </w:style>
  <w:style w:type="character" w:styleId="EndnoteReference">
    <w:name w:val="endnote reference"/>
    <w:basedOn w:val="DefaultParagraphFont"/>
    <w:uiPriority w:val="99"/>
    <w:unhideWhenUsed/>
    <w:rsid w:val="00812BA2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12BA2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12BA2"/>
    <w:rPr>
      <w:rFonts w:eastAsia="Calibri"/>
      <w:sz w:val="24"/>
      <w:szCs w:val="22"/>
      <w:lang w:val="lv-LV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12BA2"/>
    <w:rPr>
      <w:rFonts w:eastAsia="Calibri"/>
      <w:sz w:val="2"/>
      <w:szCs w:val="22"/>
      <w:lang w:val="lv-LV" w:eastAsia="en-US"/>
    </w:rPr>
  </w:style>
  <w:style w:type="paragraph" w:customStyle="1" w:styleId="FooterText">
    <w:name w:val="Footer Text"/>
    <w:basedOn w:val="Normal"/>
    <w:rsid w:val="00812BA2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12BA2"/>
    <w:rPr>
      <w:color w:val="808080"/>
    </w:rPr>
  </w:style>
  <w:style w:type="paragraph" w:styleId="ListBullet4">
    <w:name w:val="List Bullet 4"/>
    <w:basedOn w:val="Normal"/>
    <w:uiPriority w:val="99"/>
    <w:rsid w:val="00812BA2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812BA2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812BA2"/>
    <w:pPr>
      <w:spacing w:before="120" w:after="120"/>
      <w:jc w:val="both"/>
    </w:pPr>
    <w:rPr>
      <w:lang w:val="lv-LV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12BA2"/>
    <w:rPr>
      <w:color w:val="0000FF"/>
      <w:u w:val="single"/>
    </w:rPr>
  </w:style>
  <w:style w:type="paragraph" w:styleId="ListBullet">
    <w:name w:val="List Bullet"/>
    <w:basedOn w:val="Normal"/>
    <w:uiPriority w:val="99"/>
    <w:rsid w:val="00812BA2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812BA2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812BA2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812BA2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812BA2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812BA2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812BA2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812BA2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812BA2"/>
    <w:rPr>
      <w:color w:val="800080"/>
      <w:u w:val="single"/>
    </w:rPr>
  </w:style>
  <w:style w:type="paragraph" w:styleId="Revision">
    <w:name w:val="Revision"/>
    <w:hidden/>
    <w:uiPriority w:val="99"/>
    <w:semiHidden/>
    <w:rsid w:val="00812BA2"/>
    <w:pPr>
      <w:spacing w:after="200" w:line="276" w:lineRule="auto"/>
    </w:pPr>
    <w:rPr>
      <w:rFonts w:ascii="Calibri" w:eastAsia="Calibri" w:hAnsi="Calibri"/>
      <w:sz w:val="24"/>
      <w:szCs w:val="22"/>
      <w:lang w:val="lv-LV"/>
    </w:rPr>
  </w:style>
  <w:style w:type="paragraph" w:styleId="ListParagraph">
    <w:name w:val="List Paragraph"/>
    <w:aliases w:val="1st level - Bullet List Paragraph,Bullet Points,Dot pt,F5 List Paragraph,Heading 2_sj,Indicator Text,Lettre d'introduction,List Paragraph Char Char Char,List Paragraph1,List Paragraph12,No Spacing1,Numbered Para 1,heading ONTENT"/>
    <w:basedOn w:val="Normal"/>
    <w:link w:val="ListParagraphChar"/>
    <w:uiPriority w:val="34"/>
    <w:qFormat/>
    <w:rsid w:val="00812BA2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812BA2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ListParagraph"/>
    <w:uiPriority w:val="34"/>
    <w:qFormat/>
    <w:rsid w:val="00812BA2"/>
    <w:rPr>
      <w:rFonts w:eastAsia="Calibri"/>
      <w:sz w:val="24"/>
      <w:szCs w:val="22"/>
      <w:lang w:val="lv-LV" w:eastAsia="en-US"/>
    </w:rPr>
  </w:style>
  <w:style w:type="character" w:styleId="Emphasis">
    <w:name w:val="Emphasis"/>
    <w:basedOn w:val="DefaultParagraphFont"/>
    <w:uiPriority w:val="20"/>
    <w:qFormat/>
    <w:rsid w:val="00812BA2"/>
    <w:rPr>
      <w:i/>
      <w:iCs/>
    </w:rPr>
  </w:style>
  <w:style w:type="paragraph" w:customStyle="1" w:styleId="text10">
    <w:name w:val="text1"/>
    <w:basedOn w:val="Normal"/>
    <w:rsid w:val="00812BA2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12BA2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12BA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12BA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12BA2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812BA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812BA2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12BA2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12BA2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12BA2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12BA2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12BA2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12BA2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12BA2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12BA2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812BA2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812BA2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12BA2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812BA2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12BA2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12BA2"/>
    <w:rPr>
      <w:rFonts w:ascii="Cambria" w:hAnsi="Cambria"/>
      <w:b/>
      <w:bCs/>
      <w:kern w:val="28"/>
      <w:sz w:val="32"/>
      <w:szCs w:val="32"/>
      <w:lang w:val="lv-LV"/>
    </w:rPr>
  </w:style>
  <w:style w:type="table" w:customStyle="1" w:styleId="TableGrid111">
    <w:name w:val="Table Grid111"/>
    <w:basedOn w:val="TableNormal"/>
    <w:next w:val="TableGrid"/>
    <w:uiPriority w:val="59"/>
    <w:rsid w:val="00812BA2"/>
    <w:rPr>
      <w:rFonts w:ascii="Calibri" w:hAnsi="Calibr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812BA2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2BA2"/>
    <w:rPr>
      <w:rFonts w:ascii="Calibri" w:eastAsia="Calibri" w:hAnsi="Calibri" w:cs="Arial"/>
      <w:sz w:val="22"/>
      <w:szCs w:val="22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12BA2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12BA2"/>
    <w:rPr>
      <w:rFonts w:ascii="Consolas" w:eastAsia="Calibri" w:hAnsi="Consolas"/>
      <w:sz w:val="21"/>
      <w:szCs w:val="21"/>
      <w:lang w:val="lv-LV" w:eastAsia="en-US"/>
    </w:rPr>
  </w:style>
  <w:style w:type="character" w:styleId="Strong">
    <w:name w:val="Strong"/>
    <w:basedOn w:val="DefaultParagraphFont"/>
    <w:uiPriority w:val="22"/>
    <w:qFormat/>
    <w:rsid w:val="00812BA2"/>
    <w:rPr>
      <w:b/>
      <w:bCs/>
    </w:rPr>
  </w:style>
  <w:style w:type="paragraph" w:customStyle="1" w:styleId="Tiret0">
    <w:name w:val="Tiret 0"/>
    <w:basedOn w:val="Point0"/>
    <w:rsid w:val="00812BA2"/>
    <w:pPr>
      <w:tabs>
        <w:tab w:val="num" w:pos="720"/>
      </w:tabs>
      <w:ind w:left="720" w:hanging="360"/>
    </w:pPr>
  </w:style>
  <w:style w:type="character" w:customStyle="1" w:styleId="sub">
    <w:name w:val="sub"/>
    <w:basedOn w:val="DefaultParagraphFont"/>
    <w:rsid w:val="00812BA2"/>
  </w:style>
  <w:style w:type="character" w:customStyle="1" w:styleId="word">
    <w:name w:val="word"/>
    <w:basedOn w:val="DefaultParagraphFont"/>
    <w:rsid w:val="00812BA2"/>
  </w:style>
  <w:style w:type="character" w:customStyle="1" w:styleId="oj-sub">
    <w:name w:val="oj-sub"/>
    <w:basedOn w:val="DefaultParagraphFont"/>
    <w:rsid w:val="0060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4288-4AEA-49DA-A023-AD852741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2024-07-29T15:30:00Z</dcterms:created>
  <dcterms:modified xsi:type="dcterms:W3CDTF">2024-07-29T15:30:00Z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