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798C" w14:paraId="6ED3419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1989826" w14:textId="77777777" w:rsidR="00751A4A" w:rsidRPr="0031798C" w:rsidRDefault="00CE30C3" w:rsidP="0010095E">
            <w:pPr>
              <w:pStyle w:val="EPName"/>
            </w:pPr>
            <w:r w:rsidRPr="0031798C">
              <w:t>Parlamento europeo</w:t>
            </w:r>
          </w:p>
          <w:p w14:paraId="7611A1FF" w14:textId="77777777" w:rsidR="00751A4A" w:rsidRPr="0031798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4669A">
              <w:t>2019</w:t>
            </w:r>
            <w:r w:rsidRPr="0031798C">
              <w:t>-</w:t>
            </w:r>
            <w:r w:rsidRPr="0034669A">
              <w:t>2024</w:t>
            </w:r>
          </w:p>
        </w:tc>
        <w:tc>
          <w:tcPr>
            <w:tcW w:w="2268" w:type="dxa"/>
            <w:shd w:val="clear" w:color="auto" w:fill="auto"/>
          </w:tcPr>
          <w:p w14:paraId="1D80BCAF" w14:textId="77777777" w:rsidR="00751A4A" w:rsidRPr="0031798C" w:rsidRDefault="00187494" w:rsidP="0010095E">
            <w:pPr>
              <w:pStyle w:val="EPLogo"/>
            </w:pPr>
            <w:r w:rsidRPr="0031798C">
              <w:rPr>
                <w:noProof/>
                <w:lang w:val="en-GB"/>
              </w:rPr>
              <w:drawing>
                <wp:inline distT="0" distB="0" distL="0" distR="0" wp14:anchorId="760B741E" wp14:editId="3072878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82AA7" w14:textId="77777777" w:rsidR="00D058B8" w:rsidRPr="0031798C" w:rsidRDefault="00D058B8" w:rsidP="004C5D52">
      <w:pPr>
        <w:pStyle w:val="LineTop"/>
      </w:pPr>
    </w:p>
    <w:p w14:paraId="37D9189E" w14:textId="77777777" w:rsidR="00680577" w:rsidRPr="0031798C" w:rsidRDefault="00CE30C3" w:rsidP="00680577">
      <w:pPr>
        <w:pStyle w:val="EPBodyTA1"/>
      </w:pPr>
      <w:r w:rsidRPr="0031798C">
        <w:t>TESTI APPROVATI</w:t>
      </w:r>
    </w:p>
    <w:p w14:paraId="1E9237F9" w14:textId="77777777" w:rsidR="00D058B8" w:rsidRPr="0031798C" w:rsidRDefault="00D058B8" w:rsidP="00D058B8">
      <w:pPr>
        <w:pStyle w:val="LineBottom"/>
      </w:pPr>
    </w:p>
    <w:p w14:paraId="6A7A0560" w14:textId="1270A369" w:rsidR="00CE30C3" w:rsidRPr="0031798C" w:rsidRDefault="00CE30C3" w:rsidP="00CE30C3">
      <w:pPr>
        <w:pStyle w:val="ATHeading1"/>
      </w:pPr>
      <w:bookmarkStart w:id="0" w:name="TANumber"/>
      <w:r w:rsidRPr="0031798C">
        <w:t>P</w:t>
      </w:r>
      <w:r w:rsidRPr="0034669A">
        <w:t>9</w:t>
      </w:r>
      <w:r w:rsidRPr="0031798C">
        <w:t>_TA(</w:t>
      </w:r>
      <w:r w:rsidRPr="0034669A">
        <w:t>2024</w:t>
      </w:r>
      <w:r w:rsidRPr="0031798C">
        <w:t>)</w:t>
      </w:r>
      <w:r w:rsidRPr="0034669A">
        <w:t>0</w:t>
      </w:r>
      <w:r w:rsidR="003B3B43" w:rsidRPr="0034669A">
        <w:t>343</w:t>
      </w:r>
      <w:bookmarkEnd w:id="0"/>
    </w:p>
    <w:p w14:paraId="662D1D5F" w14:textId="77777777" w:rsidR="00CE30C3" w:rsidRPr="0031798C" w:rsidRDefault="00CE30C3" w:rsidP="00CE30C3">
      <w:pPr>
        <w:pStyle w:val="ATHeading2"/>
      </w:pPr>
      <w:bookmarkStart w:id="1" w:name="title"/>
      <w:r w:rsidRPr="0031798C">
        <w:t>Istituzione di uno strumento per le riforme e la crescita per i Balcani occidentali</w:t>
      </w:r>
      <w:bookmarkEnd w:id="1"/>
    </w:p>
    <w:p w14:paraId="6BCCBC1F" w14:textId="77777777" w:rsidR="00CE30C3" w:rsidRPr="0031798C" w:rsidRDefault="00CE30C3" w:rsidP="00CE30C3">
      <w:pPr>
        <w:rPr>
          <w:i/>
          <w:vanish/>
        </w:rPr>
      </w:pPr>
      <w:r w:rsidRPr="0031798C">
        <w:rPr>
          <w:i/>
        </w:rPr>
        <w:fldChar w:fldCharType="begin"/>
      </w:r>
      <w:r w:rsidRPr="0031798C">
        <w:rPr>
          <w:i/>
        </w:rPr>
        <w:instrText xml:space="preserve"> TC"(</w:instrText>
      </w:r>
      <w:bookmarkStart w:id="2" w:name="DocNumber"/>
      <w:r w:rsidRPr="0031798C">
        <w:rPr>
          <w:i/>
        </w:rPr>
        <w:instrText>A</w:instrText>
      </w:r>
      <w:r w:rsidRPr="0034669A">
        <w:rPr>
          <w:i/>
        </w:rPr>
        <w:instrText>9</w:instrText>
      </w:r>
      <w:r w:rsidRPr="0031798C">
        <w:rPr>
          <w:i/>
        </w:rPr>
        <w:instrText>-</w:instrText>
      </w:r>
      <w:r w:rsidRPr="0034669A">
        <w:rPr>
          <w:i/>
        </w:rPr>
        <w:instrText>0085</w:instrText>
      </w:r>
      <w:r w:rsidRPr="0031798C">
        <w:rPr>
          <w:i/>
        </w:rPr>
        <w:instrText>/</w:instrText>
      </w:r>
      <w:r w:rsidRPr="0034669A">
        <w:rPr>
          <w:i/>
        </w:rPr>
        <w:instrText>2024</w:instrText>
      </w:r>
      <w:bookmarkEnd w:id="2"/>
      <w:r w:rsidRPr="0031798C">
        <w:rPr>
          <w:i/>
        </w:rPr>
        <w:instrText xml:space="preserve"> - Relatori: Tonino Picula, Karlo Ressler)"\l</w:instrText>
      </w:r>
      <w:r w:rsidRPr="0034669A">
        <w:rPr>
          <w:i/>
        </w:rPr>
        <w:instrText>3</w:instrText>
      </w:r>
      <w:r w:rsidRPr="0031798C">
        <w:rPr>
          <w:i/>
        </w:rPr>
        <w:instrText xml:space="preserve"> \n&gt; \* MERGEFORMAT </w:instrText>
      </w:r>
      <w:r w:rsidRPr="0031798C">
        <w:rPr>
          <w:i/>
        </w:rPr>
        <w:fldChar w:fldCharType="end"/>
      </w:r>
    </w:p>
    <w:p w14:paraId="2859DFB5" w14:textId="79B179C0" w:rsidR="00CE30C3" w:rsidRPr="0031798C" w:rsidRDefault="00CE30C3" w:rsidP="00CE30C3">
      <w:pPr>
        <w:rPr>
          <w:vanish/>
        </w:rPr>
      </w:pPr>
      <w:bookmarkStart w:id="3" w:name="Commission"/>
      <w:r w:rsidRPr="0031798C">
        <w:rPr>
          <w:vanish/>
        </w:rPr>
        <w:t>Commissione per gli affari esteri</w:t>
      </w:r>
      <w:r w:rsidR="00EE1D43" w:rsidRPr="0031798C">
        <w:rPr>
          <w:vanish/>
        </w:rPr>
        <w:t>,</w:t>
      </w:r>
      <w:r w:rsidR="008F4E03" w:rsidRPr="0031798C">
        <w:rPr>
          <w:vanish/>
        </w:rPr>
        <w:t xml:space="preserve"> c</w:t>
      </w:r>
      <w:r w:rsidRPr="0031798C">
        <w:rPr>
          <w:vanish/>
        </w:rPr>
        <w:t>ommissione per i bilanci</w:t>
      </w:r>
      <w:bookmarkEnd w:id="3"/>
    </w:p>
    <w:p w14:paraId="1AE7F2B4" w14:textId="77777777" w:rsidR="00CE30C3" w:rsidRPr="0031798C" w:rsidRDefault="00CE30C3" w:rsidP="00CE30C3">
      <w:pPr>
        <w:rPr>
          <w:vanish/>
        </w:rPr>
      </w:pPr>
      <w:bookmarkStart w:id="4" w:name="PE"/>
      <w:r w:rsidRPr="0031798C">
        <w:rPr>
          <w:vanish/>
        </w:rPr>
        <w:t>PE</w:t>
      </w:r>
      <w:r w:rsidRPr="0034669A">
        <w:rPr>
          <w:vanish/>
        </w:rPr>
        <w:t>758</w:t>
      </w:r>
      <w:r w:rsidRPr="0031798C">
        <w:rPr>
          <w:vanish/>
        </w:rPr>
        <w:t>.</w:t>
      </w:r>
      <w:r w:rsidRPr="0034669A">
        <w:rPr>
          <w:vanish/>
        </w:rPr>
        <w:t>888</w:t>
      </w:r>
      <w:bookmarkEnd w:id="4"/>
    </w:p>
    <w:p w14:paraId="4F56B5F6" w14:textId="6A60E3F3" w:rsidR="00CE30C3" w:rsidRPr="0031798C" w:rsidRDefault="00CE30C3" w:rsidP="00CE30C3">
      <w:pPr>
        <w:pStyle w:val="ATHeading3"/>
      </w:pPr>
      <w:bookmarkStart w:id="5" w:name="Sujet"/>
      <w:r w:rsidRPr="0031798C">
        <w:t xml:space="preserve">Risoluzione legislativa del Parlamento europeo del </w:t>
      </w:r>
      <w:r w:rsidR="00EE1D43" w:rsidRPr="0034669A">
        <w:t>24</w:t>
      </w:r>
      <w:r w:rsidRPr="0031798C">
        <w:t xml:space="preserve"> aprile </w:t>
      </w:r>
      <w:r w:rsidRPr="0034669A">
        <w:t>2024</w:t>
      </w:r>
      <w:r w:rsidRPr="0031798C">
        <w:t xml:space="preserve"> sulla proposta di regolamento del Parlamento europeo e del Consiglio sull'istituzione di uno strumento per le riforme e la crescita per i Balcani occidentali</w:t>
      </w:r>
      <w:bookmarkEnd w:id="5"/>
      <w:r w:rsidRPr="0031798C">
        <w:t xml:space="preserve"> </w:t>
      </w:r>
      <w:bookmarkStart w:id="6" w:name="References"/>
      <w:r w:rsidRPr="0031798C">
        <w:t>(COM(</w:t>
      </w:r>
      <w:r w:rsidRPr="0034669A">
        <w:t>2023</w:t>
      </w:r>
      <w:r w:rsidRPr="0031798C">
        <w:t>)</w:t>
      </w:r>
      <w:r w:rsidRPr="0034669A">
        <w:t>0692</w:t>
      </w:r>
      <w:r w:rsidRPr="0031798C">
        <w:t xml:space="preserve"> – C</w:t>
      </w:r>
      <w:r w:rsidRPr="0034669A">
        <w:t>9</w:t>
      </w:r>
      <w:r w:rsidRPr="0031798C">
        <w:t>-</w:t>
      </w:r>
      <w:r w:rsidRPr="0034669A">
        <w:t>0408</w:t>
      </w:r>
      <w:r w:rsidRPr="0031798C">
        <w:t>/</w:t>
      </w:r>
      <w:r w:rsidRPr="0034669A">
        <w:t>2023</w:t>
      </w:r>
      <w:r w:rsidRPr="0031798C">
        <w:t xml:space="preserve"> – </w:t>
      </w:r>
      <w:r w:rsidRPr="0034669A">
        <w:t>2023</w:t>
      </w:r>
      <w:r w:rsidRPr="0031798C">
        <w:t>/</w:t>
      </w:r>
      <w:r w:rsidRPr="0034669A">
        <w:t>0397</w:t>
      </w:r>
      <w:r w:rsidRPr="0031798C">
        <w:t>(COD))</w:t>
      </w:r>
      <w:bookmarkEnd w:id="6"/>
    </w:p>
    <w:p w14:paraId="4C8F7EA6" w14:textId="77777777" w:rsidR="00CE30C3" w:rsidRPr="0031798C" w:rsidRDefault="00CE30C3" w:rsidP="00CE30C3"/>
    <w:p w14:paraId="37FA8FCE" w14:textId="77777777" w:rsidR="00DB583B" w:rsidRPr="0031798C" w:rsidRDefault="00DB583B" w:rsidP="00DB583B">
      <w:pPr>
        <w:pStyle w:val="NormalBold"/>
      </w:pPr>
      <w:bookmarkStart w:id="7" w:name="TextBodyBegin"/>
      <w:bookmarkEnd w:id="7"/>
      <w:r w:rsidRPr="0031798C">
        <w:t>(Procedura legislativa ordinaria: prima lettura)</w:t>
      </w:r>
    </w:p>
    <w:p w14:paraId="226BA216" w14:textId="77777777" w:rsidR="00DB583B" w:rsidRPr="0031798C" w:rsidRDefault="00DB583B" w:rsidP="00DB583B">
      <w:pPr>
        <w:pStyle w:val="EPComma"/>
      </w:pPr>
      <w:r w:rsidRPr="0031798C">
        <w:rPr>
          <w:i/>
          <w:iCs/>
        </w:rPr>
        <w:t>Il Parlamento europeo</w:t>
      </w:r>
      <w:r w:rsidRPr="0031798C">
        <w:t>,</w:t>
      </w:r>
    </w:p>
    <w:p w14:paraId="1635EE13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>vista la proposta della Commissione al Parlamento europeo e al Consiglio (COM(</w:t>
      </w:r>
      <w:r w:rsidRPr="0034669A">
        <w:t>2023</w:t>
      </w:r>
      <w:r w:rsidRPr="0031798C">
        <w:t>)</w:t>
      </w:r>
      <w:r w:rsidRPr="0034669A">
        <w:t>0692</w:t>
      </w:r>
      <w:r w:rsidRPr="0031798C">
        <w:t>),</w:t>
      </w:r>
    </w:p>
    <w:p w14:paraId="2DFB1EB4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 xml:space="preserve">visti l'articolo </w:t>
      </w:r>
      <w:r w:rsidRPr="0034669A">
        <w:t>294</w:t>
      </w:r>
      <w:r w:rsidRPr="0031798C">
        <w:t xml:space="preserve">, paragrafo </w:t>
      </w:r>
      <w:r w:rsidRPr="0034669A">
        <w:t>2</w:t>
      </w:r>
      <w:r w:rsidRPr="0031798C">
        <w:t xml:space="preserve">, l'articolo </w:t>
      </w:r>
      <w:r w:rsidRPr="0034669A">
        <w:t>212</w:t>
      </w:r>
      <w:r w:rsidRPr="0031798C">
        <w:t xml:space="preserve"> e l'articolo </w:t>
      </w:r>
      <w:r w:rsidRPr="0034669A">
        <w:t>322</w:t>
      </w:r>
      <w:r w:rsidRPr="0031798C">
        <w:t xml:space="preserve">, paragrafo </w:t>
      </w:r>
      <w:r w:rsidRPr="0034669A">
        <w:t>1</w:t>
      </w:r>
      <w:r w:rsidRPr="0031798C">
        <w:t>, del trattato sul funzionamento dell'Unione europea, a norma dei quali la proposta gli è stata presentata dalla Commissione (C</w:t>
      </w:r>
      <w:r w:rsidRPr="0034669A">
        <w:t>9</w:t>
      </w:r>
      <w:r w:rsidRPr="0031798C">
        <w:noBreakHyphen/>
      </w:r>
      <w:r w:rsidRPr="0034669A">
        <w:t>0408</w:t>
      </w:r>
      <w:r w:rsidRPr="0031798C">
        <w:t>/</w:t>
      </w:r>
      <w:r w:rsidRPr="0034669A">
        <w:t>2023</w:t>
      </w:r>
      <w:r w:rsidRPr="0031798C">
        <w:t>),</w:t>
      </w:r>
    </w:p>
    <w:p w14:paraId="15D5A407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 xml:space="preserve">visto l'articolo </w:t>
      </w:r>
      <w:r w:rsidRPr="0034669A">
        <w:t>294</w:t>
      </w:r>
      <w:r w:rsidRPr="0031798C">
        <w:t xml:space="preserve">, paragrafo </w:t>
      </w:r>
      <w:r w:rsidRPr="0034669A">
        <w:t>3</w:t>
      </w:r>
      <w:r w:rsidRPr="0031798C">
        <w:t>, del trattato sul funzionamento dell'Unione europea,</w:t>
      </w:r>
    </w:p>
    <w:p w14:paraId="400262B4" w14:textId="7ACEB80D" w:rsidR="008F4E03" w:rsidRPr="0031798C" w:rsidRDefault="008F4E03" w:rsidP="00DB583B">
      <w:pPr>
        <w:pStyle w:val="NormalHanging12a"/>
      </w:pPr>
      <w:r w:rsidRPr="0031798C">
        <w:t>–</w:t>
      </w:r>
      <w:r w:rsidRPr="0031798C">
        <w:tab/>
        <w:t xml:space="preserve">visto il parere della Corte dei conti del </w:t>
      </w:r>
      <w:r w:rsidR="00EE1D43" w:rsidRPr="0034669A">
        <w:t>30</w:t>
      </w:r>
      <w:r w:rsidR="00EE1D43" w:rsidRPr="0031798C">
        <w:t xml:space="preserve"> gennaio </w:t>
      </w:r>
      <w:r w:rsidR="00EE1D43" w:rsidRPr="0034669A">
        <w:t>2024</w:t>
      </w:r>
      <w:r w:rsidRPr="0031798C">
        <w:rPr>
          <w:rStyle w:val="FootnoteReference"/>
        </w:rPr>
        <w:footnoteReference w:id="1"/>
      </w:r>
      <w:r w:rsidRPr="0031798C">
        <w:t>,</w:t>
      </w:r>
    </w:p>
    <w:p w14:paraId="36917C24" w14:textId="77777777" w:rsidR="008F4E03" w:rsidRPr="0031798C" w:rsidRDefault="008F4E03" w:rsidP="009F5224">
      <w:pPr>
        <w:pStyle w:val="Normal12Hanging"/>
        <w:ind w:left="567" w:hanging="567"/>
      </w:pPr>
      <w:r w:rsidRPr="0031798C">
        <w:t>–</w:t>
      </w:r>
      <w:r w:rsidRPr="0031798C">
        <w:tab/>
        <w:t xml:space="preserve">visti l'accordo provvisorio approvato dalle commissioni competenti a norma dell'articolo </w:t>
      </w:r>
      <w:r w:rsidRPr="0034669A">
        <w:t>74</w:t>
      </w:r>
      <w:r w:rsidRPr="0031798C">
        <w:t xml:space="preserve">, paragrafo </w:t>
      </w:r>
      <w:r w:rsidRPr="0034669A">
        <w:t>4</w:t>
      </w:r>
      <w:r w:rsidRPr="0031798C">
        <w:t>, del regolamento e l'impegno assunto dal rappresentante del Consiglio, con lettera dell’</w:t>
      </w:r>
      <w:r w:rsidRPr="0034669A">
        <w:t>8</w:t>
      </w:r>
      <w:r w:rsidRPr="0031798C">
        <w:t xml:space="preserve"> aprile </w:t>
      </w:r>
      <w:r w:rsidRPr="0034669A">
        <w:t>2024</w:t>
      </w:r>
      <w:r w:rsidRPr="0031798C">
        <w:t xml:space="preserve">, di approvare la posizione del Parlamento europeo, in conformità dell'articolo </w:t>
      </w:r>
      <w:r w:rsidRPr="0034669A">
        <w:t>294</w:t>
      </w:r>
      <w:r w:rsidRPr="0031798C">
        <w:t xml:space="preserve">, paragrafo </w:t>
      </w:r>
      <w:r w:rsidRPr="0034669A">
        <w:t>4</w:t>
      </w:r>
      <w:r w:rsidRPr="0031798C">
        <w:t>, del trattato sul funzionamento dell'Unione europea,</w:t>
      </w:r>
    </w:p>
    <w:p w14:paraId="06544860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 xml:space="preserve">visto l'articolo </w:t>
      </w:r>
      <w:r w:rsidRPr="0034669A">
        <w:t>59</w:t>
      </w:r>
      <w:r w:rsidRPr="0031798C">
        <w:t xml:space="preserve"> del suo regolamento,</w:t>
      </w:r>
    </w:p>
    <w:p w14:paraId="6A692F70" w14:textId="0F950F1A" w:rsidR="008F4E03" w:rsidRPr="0031798C" w:rsidRDefault="008F4E03" w:rsidP="00DB583B">
      <w:pPr>
        <w:pStyle w:val="NormalHanging12a"/>
      </w:pPr>
      <w:r w:rsidRPr="0031798C">
        <w:rPr>
          <w:szCs w:val="24"/>
        </w:rPr>
        <w:t>–</w:t>
      </w:r>
      <w:r w:rsidRPr="0031798C">
        <w:rPr>
          <w:szCs w:val="24"/>
        </w:rPr>
        <w:tab/>
        <w:t xml:space="preserve">viste le deliberazioni congiunte della commissione gli affari </w:t>
      </w:r>
      <w:r w:rsidR="009F5224" w:rsidRPr="0031798C">
        <w:rPr>
          <w:szCs w:val="24"/>
        </w:rPr>
        <w:t xml:space="preserve">esteri </w:t>
      </w:r>
      <w:r w:rsidRPr="0031798C">
        <w:rPr>
          <w:szCs w:val="24"/>
        </w:rPr>
        <w:t xml:space="preserve">e della commissione </w:t>
      </w:r>
      <w:r w:rsidR="009F5224" w:rsidRPr="0031798C">
        <w:rPr>
          <w:szCs w:val="24"/>
        </w:rPr>
        <w:t xml:space="preserve">per i bilanci </w:t>
      </w:r>
      <w:r w:rsidRPr="0031798C">
        <w:rPr>
          <w:szCs w:val="24"/>
        </w:rPr>
        <w:t xml:space="preserve">a norma dell'articolo </w:t>
      </w:r>
      <w:r w:rsidRPr="0034669A">
        <w:rPr>
          <w:szCs w:val="24"/>
        </w:rPr>
        <w:t>58</w:t>
      </w:r>
      <w:r w:rsidRPr="0031798C">
        <w:rPr>
          <w:szCs w:val="24"/>
        </w:rPr>
        <w:t xml:space="preserve"> del regolamento,</w:t>
      </w:r>
    </w:p>
    <w:p w14:paraId="604DCE1A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 xml:space="preserve">visti i pareri della commissione per il commercio internazionale e della commissione </w:t>
      </w:r>
      <w:r w:rsidRPr="0031798C">
        <w:lastRenderedPageBreak/>
        <w:t>per lo sviluppo regionale,</w:t>
      </w:r>
    </w:p>
    <w:p w14:paraId="23E8A34C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>vista la lettera della commissione per il controllo dei bilanci,</w:t>
      </w:r>
    </w:p>
    <w:p w14:paraId="2ECD6B02" w14:textId="77777777" w:rsidR="00DB583B" w:rsidRPr="0031798C" w:rsidRDefault="00DB583B" w:rsidP="00DB583B">
      <w:pPr>
        <w:pStyle w:val="NormalHanging12a"/>
      </w:pPr>
      <w:r w:rsidRPr="0031798C">
        <w:t>–</w:t>
      </w:r>
      <w:r w:rsidRPr="0031798C">
        <w:tab/>
        <w:t>vista la relazione della commissione per gli affari esteri e della commissione per i bilanci (A</w:t>
      </w:r>
      <w:r w:rsidRPr="0034669A">
        <w:t>9</w:t>
      </w:r>
      <w:r w:rsidRPr="0031798C">
        <w:t>-</w:t>
      </w:r>
      <w:r w:rsidRPr="0034669A">
        <w:t>0085</w:t>
      </w:r>
      <w:r w:rsidRPr="0031798C">
        <w:t>/</w:t>
      </w:r>
      <w:r w:rsidRPr="0034669A">
        <w:t>2024</w:t>
      </w:r>
      <w:r w:rsidRPr="0031798C">
        <w:t>),</w:t>
      </w:r>
    </w:p>
    <w:p w14:paraId="198F01BF" w14:textId="062A12B8" w:rsidR="00DB583B" w:rsidRPr="0031798C" w:rsidRDefault="00DB583B" w:rsidP="00DB583B">
      <w:pPr>
        <w:pStyle w:val="NormalHanging12a"/>
      </w:pPr>
      <w:r w:rsidRPr="0034669A">
        <w:t>1</w:t>
      </w:r>
      <w:r w:rsidRPr="0031798C">
        <w:t>.</w:t>
      </w:r>
      <w:r w:rsidRPr="0031798C">
        <w:tab/>
        <w:t>adotta la posizione in prima lettura figurante in appresso;</w:t>
      </w:r>
    </w:p>
    <w:p w14:paraId="171CD68B" w14:textId="5F5654BE" w:rsidR="00EE1D43" w:rsidRPr="0031798C" w:rsidRDefault="00EE1D43" w:rsidP="00DB583B">
      <w:pPr>
        <w:pStyle w:val="NormalHanging12a"/>
      </w:pPr>
      <w:r w:rsidRPr="0034669A">
        <w:t>2</w:t>
      </w:r>
      <w:r w:rsidRPr="0031798C">
        <w:t>.</w:t>
      </w:r>
      <w:r w:rsidRPr="0031798C">
        <w:tab/>
      </w:r>
      <w:r w:rsidR="00990769" w:rsidRPr="0031798C">
        <w:rPr>
          <w:szCs w:val="24"/>
        </w:rPr>
        <w:t xml:space="preserve">approva la dichiarazione comune del Parlamento europeo e del Consiglio allegata alla presente risoluzione che sarà pubblicata nella </w:t>
      </w:r>
      <w:r w:rsidR="00990769" w:rsidRPr="0031798C">
        <w:rPr>
          <w:i/>
          <w:szCs w:val="24"/>
        </w:rPr>
        <w:t>Gazzetta ufficiale dell'Unione europea</w:t>
      </w:r>
      <w:r w:rsidR="00CA362E" w:rsidRPr="0031798C">
        <w:rPr>
          <w:i/>
          <w:szCs w:val="24"/>
        </w:rPr>
        <w:t>,</w:t>
      </w:r>
      <w:r w:rsidR="00CA362E" w:rsidRPr="0031798C">
        <w:rPr>
          <w:szCs w:val="24"/>
        </w:rPr>
        <w:t xml:space="preserve"> serie C</w:t>
      </w:r>
      <w:r w:rsidR="00990769" w:rsidRPr="0031798C">
        <w:rPr>
          <w:szCs w:val="24"/>
        </w:rPr>
        <w:t>;</w:t>
      </w:r>
    </w:p>
    <w:p w14:paraId="1E42C3F2" w14:textId="48C3C1A2" w:rsidR="00DB583B" w:rsidRPr="0031798C" w:rsidRDefault="00EE1D43" w:rsidP="00DB583B">
      <w:pPr>
        <w:pStyle w:val="NormalHanging12a"/>
      </w:pPr>
      <w:r w:rsidRPr="0034669A">
        <w:t>3</w:t>
      </w:r>
      <w:r w:rsidR="00DB583B" w:rsidRPr="0031798C">
        <w:t>.</w:t>
      </w:r>
      <w:r w:rsidR="00DB583B" w:rsidRPr="0031798C">
        <w:tab/>
        <w:t>chiede alla Commissione di presentargli nuovamente la proposta qualora la sostituisca, la modifichi sostanzialmente o intenda modificarla sostanzialmente;</w:t>
      </w:r>
    </w:p>
    <w:p w14:paraId="0263E04D" w14:textId="18E8500D" w:rsidR="008F4E03" w:rsidRPr="0031798C" w:rsidRDefault="00EE1D43" w:rsidP="00DB583B">
      <w:pPr>
        <w:pStyle w:val="NormalHanging12a"/>
        <w:sectPr w:rsidR="008F4E03" w:rsidRPr="0031798C" w:rsidSect="000C6834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4669A">
        <w:t>4</w:t>
      </w:r>
      <w:r w:rsidR="00DB583B" w:rsidRPr="0031798C">
        <w:t>.</w:t>
      </w:r>
      <w:r w:rsidR="00DB583B" w:rsidRPr="0031798C">
        <w:tab/>
        <w:t>incarica la sua Presidente di trasmettere la posizione del Parlamento al Consiglio e alla Commissione nonché ai parlamenti nazionali.</w:t>
      </w:r>
    </w:p>
    <w:p w14:paraId="262A082D" w14:textId="3F38A49B" w:rsidR="00EE1D43" w:rsidRPr="0031798C" w:rsidRDefault="00EE1D43" w:rsidP="00EE1D43">
      <w:pPr>
        <w:spacing w:after="240"/>
        <w:rPr>
          <w:b/>
        </w:rPr>
      </w:pPr>
      <w:r w:rsidRPr="0031798C">
        <w:rPr>
          <w:b/>
        </w:rPr>
        <w:lastRenderedPageBreak/>
        <w:t>P</w:t>
      </w:r>
      <w:r w:rsidRPr="0034669A">
        <w:rPr>
          <w:b/>
        </w:rPr>
        <w:t>9</w:t>
      </w:r>
      <w:r w:rsidRPr="0031798C">
        <w:rPr>
          <w:b/>
        </w:rPr>
        <w:t>_TC</w:t>
      </w:r>
      <w:r w:rsidRPr="0034669A">
        <w:rPr>
          <w:b/>
        </w:rPr>
        <w:t>1</w:t>
      </w:r>
      <w:r w:rsidRPr="0031798C">
        <w:rPr>
          <w:b/>
        </w:rPr>
        <w:t>-COD(</w:t>
      </w:r>
      <w:r w:rsidRPr="0034669A">
        <w:rPr>
          <w:b/>
        </w:rPr>
        <w:t>2023</w:t>
      </w:r>
      <w:r w:rsidRPr="0031798C">
        <w:rPr>
          <w:b/>
        </w:rPr>
        <w:t>)</w:t>
      </w:r>
      <w:r w:rsidRPr="0034669A">
        <w:rPr>
          <w:b/>
        </w:rPr>
        <w:t>0397</w:t>
      </w:r>
    </w:p>
    <w:p w14:paraId="1C97A982" w14:textId="77777777" w:rsidR="00D66E01" w:rsidRDefault="00EE1D43" w:rsidP="00D66E01">
      <w:pPr>
        <w:spacing w:before="120" w:after="360"/>
        <w:rPr>
          <w:rFonts w:eastAsiaTheme="minorHAnsi"/>
          <w:b/>
          <w:szCs w:val="22"/>
          <w:lang w:eastAsia="en-US"/>
        </w:rPr>
      </w:pPr>
      <w:r w:rsidRPr="0031798C">
        <w:rPr>
          <w:b/>
        </w:rPr>
        <w:t xml:space="preserve">Posizione del Parlamento europeo definita in prima lettura il </w:t>
      </w:r>
      <w:r w:rsidRPr="0034669A">
        <w:rPr>
          <w:b/>
        </w:rPr>
        <w:t>24</w:t>
      </w:r>
      <w:r w:rsidRPr="0031798C">
        <w:rPr>
          <w:b/>
        </w:rPr>
        <w:t xml:space="preserve"> aprile </w:t>
      </w:r>
      <w:r w:rsidRPr="0034669A">
        <w:rPr>
          <w:b/>
        </w:rPr>
        <w:t>2024</w:t>
      </w:r>
      <w:r w:rsidRPr="0031798C">
        <w:rPr>
          <w:b/>
        </w:rPr>
        <w:t xml:space="preserve"> in vista dell'adozione del regolamento (UE) </w:t>
      </w:r>
      <w:r w:rsidRPr="0034669A">
        <w:rPr>
          <w:b/>
        </w:rPr>
        <w:t>2024</w:t>
      </w:r>
      <w:r w:rsidRPr="0031798C">
        <w:rPr>
          <w:b/>
        </w:rPr>
        <w:t xml:space="preserve">/... del Parlamento europeo e del Consiglio </w:t>
      </w:r>
      <w:r w:rsidRPr="0031798C">
        <w:rPr>
          <w:rFonts w:eastAsiaTheme="minorHAnsi"/>
          <w:b/>
          <w:szCs w:val="22"/>
          <w:lang w:eastAsia="en-US"/>
        </w:rPr>
        <w:t>sull'istituzione di uno strumento per le riforme e la crescita per i Balcani occidentali</w:t>
      </w:r>
    </w:p>
    <w:p w14:paraId="4727133F" w14:textId="6A551A20" w:rsidR="00D66E01" w:rsidRDefault="00D66E01" w:rsidP="00D66E01">
      <w:pPr>
        <w:spacing w:before="120" w:after="360"/>
        <w:rPr>
          <w:rFonts w:eastAsiaTheme="minorHAnsi"/>
          <w:b/>
          <w:szCs w:val="22"/>
          <w:lang w:eastAsia="en-US"/>
        </w:rPr>
      </w:pPr>
      <w:r w:rsidRPr="00CD492A">
        <w:rPr>
          <w:i/>
        </w:rPr>
        <w:t>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1449</w:t>
      </w:r>
      <w:bookmarkStart w:id="8" w:name="_GoBack"/>
      <w:bookmarkEnd w:id="8"/>
      <w:r>
        <w:rPr>
          <w:i/>
        </w:rPr>
        <w:t>.</w:t>
      </w:r>
      <w:r w:rsidRPr="00CD492A">
        <w:rPr>
          <w:i/>
        </w:rPr>
        <w:t>)</w:t>
      </w:r>
      <w:r>
        <w:rPr>
          <w:rFonts w:eastAsiaTheme="minorHAnsi"/>
          <w:b/>
          <w:szCs w:val="22"/>
          <w:lang w:eastAsia="en-US"/>
        </w:rPr>
        <w:br w:type="page"/>
      </w:r>
    </w:p>
    <w:p w14:paraId="5B3D5032" w14:textId="6D03D59F" w:rsidR="00556083" w:rsidRPr="0031798C" w:rsidRDefault="00556083" w:rsidP="00D66E01">
      <w:pPr>
        <w:spacing w:before="120" w:after="360"/>
        <w:jc w:val="right"/>
        <w:rPr>
          <w:rFonts w:eastAsia="Calibri"/>
          <w:szCs w:val="22"/>
          <w:lang w:eastAsia="en-US"/>
        </w:rPr>
      </w:pPr>
      <w:r w:rsidRPr="0031798C">
        <w:rPr>
          <w:rFonts w:eastAsia="Calibri"/>
          <w:szCs w:val="22"/>
          <w:lang w:eastAsia="en-US"/>
        </w:rPr>
        <w:lastRenderedPageBreak/>
        <w:t>ALLEGATO ALLA RISOLUZIONE LEGISLATIVA</w:t>
      </w:r>
    </w:p>
    <w:p w14:paraId="1C8886CB" w14:textId="5DE6C267" w:rsidR="00556083" w:rsidRPr="0031798C" w:rsidRDefault="00556083" w:rsidP="00556083">
      <w:pPr>
        <w:spacing w:line="360" w:lineRule="auto"/>
        <w:jc w:val="center"/>
        <w:rPr>
          <w:b/>
          <w:bCs/>
          <w:szCs w:val="24"/>
        </w:rPr>
      </w:pPr>
      <w:r w:rsidRPr="0031798C">
        <w:rPr>
          <w:b/>
        </w:rPr>
        <w:t>Dichiarazione comune del Parlamento europeo e del Consiglio sulla nomenclatura di bilancio appropriata per lo strumento per i Balcani occidentali</w:t>
      </w:r>
    </w:p>
    <w:p w14:paraId="3CA7D5C4" w14:textId="12CE1DC9" w:rsidR="00556083" w:rsidRPr="0031798C" w:rsidRDefault="009F5224" w:rsidP="00556083">
      <w:pPr>
        <w:pStyle w:val="Normal12a"/>
        <w:spacing w:line="360" w:lineRule="auto"/>
      </w:pPr>
      <w:r w:rsidRPr="0031798C">
        <w:t>"</w:t>
      </w:r>
      <w:r w:rsidR="00556083" w:rsidRPr="0031798C">
        <w:t xml:space="preserve">Il Parlamento europeo e il Consiglio prendono atto della dichiarazione della Commissione europea sulla rendicontazione. Fatte salve le prerogative dell'autorità di bilancio a norma dei trattati, il Parlamento europeo e il Consiglio intendono rivedere la nomenclatura dello strumento, ad esempio per quanto riguarda gli stanziamenti per beneficiario, al fine di garantire un adeguato controllo politico e di bilancio. Il Parlamento europeo e il Consiglio invitano la Commissione europea a tenere debitamente conto della presente dichiarazione, se del caso, nella preparazione del progetto di bilancio </w:t>
      </w:r>
      <w:r w:rsidR="00556083" w:rsidRPr="0034669A">
        <w:t>2025</w:t>
      </w:r>
      <w:r w:rsidR="00556083" w:rsidRPr="0031798C">
        <w:t>."</w:t>
      </w:r>
    </w:p>
    <w:p w14:paraId="518ACB2D" w14:textId="77777777" w:rsidR="00556083" w:rsidRPr="0031798C" w:rsidRDefault="00556083" w:rsidP="00556083">
      <w:pPr>
        <w:widowControl/>
        <w:spacing w:before="120" w:after="240" w:line="360" w:lineRule="auto"/>
        <w:jc w:val="right"/>
        <w:rPr>
          <w:rFonts w:eastAsia="Calibri"/>
          <w:szCs w:val="22"/>
          <w:lang w:eastAsia="en-US"/>
        </w:rPr>
      </w:pPr>
    </w:p>
    <w:sectPr w:rsidR="00556083" w:rsidRPr="0031798C" w:rsidSect="000C68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8C0FD" w14:textId="77777777" w:rsidR="00CE30C3" w:rsidRPr="000C6834" w:rsidRDefault="00CE30C3">
      <w:r w:rsidRPr="000C6834">
        <w:separator/>
      </w:r>
    </w:p>
  </w:endnote>
  <w:endnote w:type="continuationSeparator" w:id="0">
    <w:p w14:paraId="12F45F39" w14:textId="77777777" w:rsidR="00CE30C3" w:rsidRPr="000C6834" w:rsidRDefault="00CE30C3">
      <w:r w:rsidRPr="000C68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CD498" w14:textId="77777777" w:rsidR="00DB583B" w:rsidRPr="000C6834" w:rsidRDefault="00DB583B" w:rsidP="000150DC">
    <w:pPr>
      <w:pStyle w:val="EPFooter"/>
    </w:pPr>
    <w:r w:rsidRPr="000C6834">
      <w:t>PE</w:t>
    </w:r>
    <w:r w:rsidRPr="000C6834">
      <w:rPr>
        <w:rStyle w:val="HideTWBExt"/>
      </w:rPr>
      <w:t>&lt;NoPE&gt;</w:t>
    </w:r>
    <w:r w:rsidRPr="000C6834">
      <w:t>758.888</w:t>
    </w:r>
    <w:r w:rsidRPr="000C6834">
      <w:rPr>
        <w:rStyle w:val="HideTWBExt"/>
      </w:rPr>
      <w:t>&lt;/NoPE&gt;&lt;Version&gt;</w:t>
    </w:r>
    <w:r w:rsidRPr="000C6834">
      <w:t>v02-00</w:t>
    </w:r>
    <w:r w:rsidRPr="000C6834">
      <w:rPr>
        <w:rStyle w:val="HideTWBExt"/>
      </w:rPr>
      <w:t>&lt;/Version&gt;</w:t>
    </w:r>
    <w:r w:rsidRPr="000C6834">
      <w:tab/>
    </w:r>
    <w:r w:rsidRPr="000C6834">
      <w:fldChar w:fldCharType="begin"/>
    </w:r>
    <w:r w:rsidRPr="000C6834">
      <w:instrText xml:space="preserve"> PAGE  \* MERGEFORMAT </w:instrText>
    </w:r>
    <w:r w:rsidRPr="000C6834">
      <w:fldChar w:fldCharType="separate"/>
    </w:r>
    <w:r w:rsidRPr="000C6834">
      <w:rPr>
        <w:noProof/>
      </w:rPr>
      <w:t>50</w:t>
    </w:r>
    <w:r w:rsidRPr="000C6834">
      <w:fldChar w:fldCharType="end"/>
    </w:r>
    <w:r w:rsidRPr="000C6834">
      <w:t>/</w:t>
    </w:r>
    <w:fldSimple w:instr=" NUMPAGES  \* MERGEFORMAT ">
      <w:r w:rsidRPr="000C6834">
        <w:rPr>
          <w:noProof/>
        </w:rPr>
        <w:t>50</w:t>
      </w:r>
    </w:fldSimple>
    <w:r w:rsidRPr="000C6834">
      <w:tab/>
    </w:r>
    <w:r w:rsidRPr="000C6834">
      <w:rPr>
        <w:rStyle w:val="HideTWBExt"/>
      </w:rPr>
      <w:t>&lt;PathFdR&gt;</w:t>
    </w:r>
    <w:r w:rsidRPr="000C6834">
      <w:t>RR\1298689IT.docx</w:t>
    </w:r>
    <w:r w:rsidRPr="000C6834">
      <w:rPr>
        <w:rStyle w:val="HideTWBExt"/>
      </w:rPr>
      <w:t>&lt;/PathFdR&gt;</w:t>
    </w:r>
  </w:p>
  <w:p w14:paraId="7AC48087" w14:textId="77777777" w:rsidR="00DB583B" w:rsidRPr="000C6834" w:rsidRDefault="00DB583B" w:rsidP="000150DC">
    <w:pPr>
      <w:pStyle w:val="EPFooter2"/>
    </w:pPr>
    <w:r w:rsidRPr="000C6834">
      <w:t>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BAE77" w14:textId="77777777" w:rsidR="00DB583B" w:rsidRPr="000C6834" w:rsidRDefault="00DB583B" w:rsidP="000150DC">
    <w:pPr>
      <w:pStyle w:val="EPFooter"/>
    </w:pPr>
    <w:r w:rsidRPr="000C6834">
      <w:rPr>
        <w:rStyle w:val="HideTWBExt"/>
      </w:rPr>
      <w:t>&lt;PathFdR&gt;</w:t>
    </w:r>
    <w:r w:rsidRPr="000C6834">
      <w:t>RR\1298689IT.docx</w:t>
    </w:r>
    <w:r w:rsidRPr="000C6834">
      <w:rPr>
        <w:rStyle w:val="HideTWBExt"/>
      </w:rPr>
      <w:t>&lt;/PathFdR&gt;</w:t>
    </w:r>
    <w:r w:rsidRPr="000C6834">
      <w:tab/>
    </w:r>
    <w:r w:rsidRPr="000C6834">
      <w:tab/>
      <w:t>PE</w:t>
    </w:r>
    <w:r w:rsidRPr="000C6834">
      <w:rPr>
        <w:rStyle w:val="HideTWBExt"/>
      </w:rPr>
      <w:t>&lt;NoPE&gt;</w:t>
    </w:r>
    <w:r w:rsidRPr="000C6834">
      <w:t>758.888</w:t>
    </w:r>
    <w:r w:rsidRPr="000C6834">
      <w:rPr>
        <w:rStyle w:val="HideTWBExt"/>
      </w:rPr>
      <w:t>&lt;/NoPE&gt;&lt;Version&gt;</w:t>
    </w:r>
    <w:r w:rsidRPr="000C6834">
      <w:t>v02-00</w:t>
    </w:r>
    <w:r w:rsidRPr="000C6834">
      <w:rPr>
        <w:rStyle w:val="HideTWBExt"/>
      </w:rPr>
      <w:t>&lt;/Version&gt;</w:t>
    </w:r>
  </w:p>
  <w:p w14:paraId="45C0F0FC" w14:textId="77777777" w:rsidR="00DB583B" w:rsidRPr="000C6834" w:rsidRDefault="00DB583B" w:rsidP="000150DC">
    <w:pPr>
      <w:pStyle w:val="EPFooter2"/>
    </w:pPr>
    <w:r w:rsidRPr="000C6834">
      <w:t>IT</w:t>
    </w:r>
    <w:r w:rsidRPr="000C6834">
      <w:tab/>
    </w:r>
    <w:r w:rsidRPr="000C6834">
      <w:rPr>
        <w:b w:val="0"/>
        <w:i/>
        <w:color w:val="C0C0C0"/>
        <w:sz w:val="22"/>
      </w:rPr>
      <w:t>Unita nella diversità</w:t>
    </w:r>
    <w:r w:rsidRPr="000C6834">
      <w:tab/>
      <w:t>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55F91" w14:textId="77777777" w:rsidR="00064002" w:rsidRPr="000C6834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6BE9B" w14:textId="77777777" w:rsidR="00064002" w:rsidRPr="000C6834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E9615" w14:textId="77777777" w:rsidR="00064002" w:rsidRPr="000C683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7DA62" w14:textId="77777777" w:rsidR="00CE30C3" w:rsidRPr="000C6834" w:rsidRDefault="00CE30C3">
      <w:r w:rsidRPr="000C6834">
        <w:separator/>
      </w:r>
    </w:p>
  </w:footnote>
  <w:footnote w:type="continuationSeparator" w:id="0">
    <w:p w14:paraId="5090B5E0" w14:textId="77777777" w:rsidR="00CE30C3" w:rsidRPr="000C6834" w:rsidRDefault="00CE30C3">
      <w:r w:rsidRPr="000C6834">
        <w:continuationSeparator/>
      </w:r>
    </w:p>
  </w:footnote>
  <w:footnote w:id="1">
    <w:p w14:paraId="2E23C469" w14:textId="78344DB1" w:rsidR="008F4E03" w:rsidRPr="009F5224" w:rsidRDefault="008F4E03" w:rsidP="009F5224">
      <w:pPr>
        <w:pStyle w:val="FootnoteText"/>
        <w:ind w:left="567" w:hanging="567"/>
        <w:rPr>
          <w:sz w:val="24"/>
          <w:szCs w:val="24"/>
          <w:lang w:val="it-IT"/>
        </w:rPr>
      </w:pPr>
      <w:r w:rsidRPr="009F5224">
        <w:rPr>
          <w:rStyle w:val="FootnoteReference"/>
          <w:sz w:val="24"/>
          <w:szCs w:val="24"/>
        </w:rPr>
        <w:footnoteRef/>
      </w:r>
      <w:r w:rsidRPr="009F5224">
        <w:rPr>
          <w:sz w:val="24"/>
          <w:szCs w:val="24"/>
          <w:lang w:val="it-IT"/>
        </w:rPr>
        <w:t xml:space="preserve"> </w:t>
      </w:r>
      <w:r w:rsidRPr="009F5224">
        <w:rPr>
          <w:sz w:val="24"/>
          <w:szCs w:val="24"/>
          <w:lang w:val="it-IT"/>
        </w:rPr>
        <w:tab/>
      </w:r>
      <w:r w:rsidR="00EE1D43" w:rsidRPr="009F5224">
        <w:rPr>
          <w:sz w:val="24"/>
          <w:szCs w:val="24"/>
          <w:lang w:val="it-IT"/>
        </w:rPr>
        <w:t>N</w:t>
      </w:r>
      <w:r w:rsidRPr="009F5224">
        <w:rPr>
          <w:sz w:val="24"/>
          <w:szCs w:val="24"/>
          <w:lang w:val="it-IT"/>
        </w:rPr>
        <w:t xml:space="preserve">on ancora pubblicato nella Gazzetta ufficiale.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0769F" w14:textId="77777777" w:rsidR="00064002" w:rsidRPr="000C683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F5411" w14:textId="77777777" w:rsidR="00064002" w:rsidRPr="000C683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8157E" w14:textId="77777777" w:rsidR="00064002" w:rsidRPr="000C683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IT"/>
    <w:docVar w:name="dvnumam" w:val="93"/>
    <w:docVar w:name="dvpe" w:val="758.888"/>
    <w:docVar w:name="dvrapporteur" w:val="Relatori: "/>
    <w:docVar w:name="dvstar" w:val="***I"/>
    <w:docVar w:name="dvtitre" w:val="Risoluzione legislativa del Parlamento europeo del xx aprile 2024 sulla proposta di regolamento del Parlamento europeo e del Consiglio sull'istituzione di uno strumento per le riforme e la crescita per i Balcani occidentali(COM(2023)0692 – C9-0408/2023 – 2023/0397(COD))"/>
  </w:docVars>
  <w:rsids>
    <w:rsidRoot w:val="00CE30C3"/>
    <w:rsid w:val="00002272"/>
    <w:rsid w:val="00064002"/>
    <w:rsid w:val="000677B9"/>
    <w:rsid w:val="000831BA"/>
    <w:rsid w:val="000A42CC"/>
    <w:rsid w:val="000B2732"/>
    <w:rsid w:val="000C6834"/>
    <w:rsid w:val="000E7DD9"/>
    <w:rsid w:val="000F3F5F"/>
    <w:rsid w:val="0010095E"/>
    <w:rsid w:val="00101001"/>
    <w:rsid w:val="00125B37"/>
    <w:rsid w:val="00187494"/>
    <w:rsid w:val="001F32AE"/>
    <w:rsid w:val="002144C0"/>
    <w:rsid w:val="002767FF"/>
    <w:rsid w:val="002B18FE"/>
    <w:rsid w:val="002B5493"/>
    <w:rsid w:val="0031798C"/>
    <w:rsid w:val="00343214"/>
    <w:rsid w:val="0034669A"/>
    <w:rsid w:val="00361C00"/>
    <w:rsid w:val="00395FA1"/>
    <w:rsid w:val="003B3B43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6083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4E03"/>
    <w:rsid w:val="00930C23"/>
    <w:rsid w:val="0093193B"/>
    <w:rsid w:val="009509D8"/>
    <w:rsid w:val="00950B64"/>
    <w:rsid w:val="00981893"/>
    <w:rsid w:val="00990769"/>
    <w:rsid w:val="009F522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362E"/>
    <w:rsid w:val="00CC2357"/>
    <w:rsid w:val="00CE30C3"/>
    <w:rsid w:val="00CF071A"/>
    <w:rsid w:val="00D058B8"/>
    <w:rsid w:val="00D56C11"/>
    <w:rsid w:val="00D66E01"/>
    <w:rsid w:val="00D834A0"/>
    <w:rsid w:val="00D872DF"/>
    <w:rsid w:val="00D91E21"/>
    <w:rsid w:val="00DA7FCD"/>
    <w:rsid w:val="00DB583B"/>
    <w:rsid w:val="00E365E1"/>
    <w:rsid w:val="00E820A4"/>
    <w:rsid w:val="00EB006A"/>
    <w:rsid w:val="00EB4772"/>
    <w:rsid w:val="00ED169E"/>
    <w:rsid w:val="00ED4235"/>
    <w:rsid w:val="00EE1D43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B3B7C"/>
  <w15:chartTrackingRefBased/>
  <w15:docId w15:val="{20F479EA-EB97-4EE0-BCFE-5691A20F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B583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83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83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83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83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83B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83B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DB583B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DB583B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DB583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B583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B583B"/>
    <w:pPr>
      <w:spacing w:before="480" w:after="240"/>
    </w:pPr>
  </w:style>
  <w:style w:type="paragraph" w:customStyle="1" w:styleId="TOCPage">
    <w:name w:val="TOC Page"/>
    <w:basedOn w:val="Normal"/>
    <w:next w:val="TOC1"/>
    <w:rsid w:val="00DB583B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DB58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B583B"/>
    <w:rPr>
      <w:b/>
    </w:rPr>
  </w:style>
  <w:style w:type="paragraph" w:customStyle="1" w:styleId="NormalBold12a">
    <w:name w:val="NormalBold12a"/>
    <w:basedOn w:val="Normal"/>
    <w:rsid w:val="00DB583B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DB583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B583B"/>
    <w:pPr>
      <w:spacing w:after="480"/>
      <w:ind w:left="1417"/>
    </w:pPr>
  </w:style>
  <w:style w:type="paragraph" w:customStyle="1" w:styleId="CoverNormal">
    <w:name w:val="CoverNormal"/>
    <w:basedOn w:val="Normal"/>
    <w:rsid w:val="00DB583B"/>
    <w:pPr>
      <w:ind w:left="1418"/>
    </w:pPr>
  </w:style>
  <w:style w:type="paragraph" w:customStyle="1" w:styleId="NormalCenter12a">
    <w:name w:val="NormalCenter12a"/>
    <w:basedOn w:val="Normal"/>
    <w:rsid w:val="00DB583B"/>
    <w:pPr>
      <w:spacing w:after="240"/>
      <w:jc w:val="center"/>
    </w:pPr>
  </w:style>
  <w:style w:type="paragraph" w:customStyle="1" w:styleId="CoverReference">
    <w:name w:val="CoverReference"/>
    <w:basedOn w:val="Normal"/>
    <w:rsid w:val="00DB583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B583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B583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B583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B58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83B"/>
    <w:rPr>
      <w:sz w:val="24"/>
      <w:lang w:val="it-IT"/>
    </w:rPr>
  </w:style>
  <w:style w:type="paragraph" w:customStyle="1" w:styleId="AmNumberTabs">
    <w:name w:val="AmNumberTabs"/>
    <w:basedOn w:val="Normal"/>
    <w:link w:val="AmNumberTabsChar"/>
    <w:rsid w:val="00DB58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B583B"/>
    <w:pPr>
      <w:spacing w:before="720" w:after="240"/>
      <w:jc w:val="center"/>
    </w:pPr>
  </w:style>
  <w:style w:type="paragraph" w:customStyle="1" w:styleId="EPBody">
    <w:name w:val="EPBody"/>
    <w:basedOn w:val="Normal"/>
    <w:rsid w:val="00DB583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B583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DB583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B583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B583B"/>
    <w:rPr>
      <w:sz w:val="18"/>
    </w:rPr>
  </w:style>
  <w:style w:type="character" w:styleId="Hyperlink">
    <w:name w:val="Hyperlink"/>
    <w:uiPriority w:val="99"/>
    <w:unhideWhenUsed/>
    <w:rsid w:val="00DB583B"/>
    <w:rPr>
      <w:color w:val="0000FF"/>
      <w:u w:val="single"/>
    </w:rPr>
  </w:style>
  <w:style w:type="paragraph" w:customStyle="1" w:styleId="Text1">
    <w:name w:val="Text 1"/>
    <w:basedOn w:val="Normal"/>
    <w:rsid w:val="00DB583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B583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B583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B583B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B583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B583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DB583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B583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B583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B583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B583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B583B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B583B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B583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DB583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DB583B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DB583B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DB583B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DB583B"/>
    <w:rPr>
      <w:color w:val="008000"/>
    </w:rPr>
  </w:style>
  <w:style w:type="character" w:customStyle="1" w:styleId="italic1">
    <w:name w:val="italic1"/>
    <w:basedOn w:val="DefaultParagraphFont"/>
    <w:rsid w:val="00DB583B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DB58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B583B"/>
    <w:rPr>
      <w:rFonts w:ascii="Segoe UI" w:hAnsi="Segoe UI" w:cs="Segoe UI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DB583B"/>
    <w:pPr>
      <w:ind w:left="720"/>
      <w:contextualSpacing/>
    </w:pPr>
  </w:style>
  <w:style w:type="paragraph" w:customStyle="1" w:styleId="Normal12a">
    <w:name w:val="Normal12a"/>
    <w:basedOn w:val="Normal"/>
    <w:rsid w:val="00DB583B"/>
    <w:pPr>
      <w:spacing w:after="240"/>
    </w:pPr>
  </w:style>
  <w:style w:type="paragraph" w:customStyle="1" w:styleId="Normal6a">
    <w:name w:val="Normal6a"/>
    <w:basedOn w:val="Normal"/>
    <w:rsid w:val="00DB583B"/>
    <w:pPr>
      <w:spacing w:after="120"/>
    </w:pPr>
  </w:style>
  <w:style w:type="paragraph" w:customStyle="1" w:styleId="PageHeadingNotTOC">
    <w:name w:val="PageHeadingNotTOC"/>
    <w:basedOn w:val="Normal"/>
    <w:rsid w:val="00DB583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B583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DB583B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DB583B"/>
    <w:pPr>
      <w:spacing w:before="240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DB583B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DB583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DB583B"/>
    <w:rPr>
      <w:b/>
      <w:sz w:val="24"/>
      <w:lang w:val="it-IT"/>
    </w:rPr>
  </w:style>
  <w:style w:type="paragraph" w:customStyle="1" w:styleId="ColumnHeading">
    <w:name w:val="ColumnHeading"/>
    <w:basedOn w:val="Normal"/>
    <w:rsid w:val="00DB583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B583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DB583B"/>
    <w:rPr>
      <w:b/>
      <w:sz w:val="24"/>
      <w:lang w:val="it-IT"/>
    </w:rPr>
  </w:style>
  <w:style w:type="character" w:customStyle="1" w:styleId="NormalBold12bChar">
    <w:name w:val="NormalBold12b Char"/>
    <w:basedOn w:val="AmNumberTabsChar"/>
    <w:link w:val="NormalBold12b"/>
    <w:rsid w:val="00DB583B"/>
    <w:rPr>
      <w:b/>
      <w:sz w:val="24"/>
      <w:lang w:val="it-IT"/>
    </w:rPr>
  </w:style>
  <w:style w:type="paragraph" w:customStyle="1" w:styleId="Normal24a">
    <w:name w:val="Normal24a"/>
    <w:basedOn w:val="Normal"/>
    <w:rsid w:val="00DB583B"/>
    <w:pPr>
      <w:spacing w:after="480"/>
    </w:pPr>
  </w:style>
  <w:style w:type="paragraph" w:customStyle="1" w:styleId="RollCallSymbols14pt">
    <w:name w:val="RollCallSymbols14pt"/>
    <w:basedOn w:val="Normal"/>
    <w:rsid w:val="00DB583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DB583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DB583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DB583B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DB583B"/>
    <w:pPr>
      <w:spacing w:after="240"/>
    </w:pPr>
    <w:rPr>
      <w:i/>
    </w:rPr>
  </w:style>
  <w:style w:type="paragraph" w:customStyle="1" w:styleId="AmCrossRef">
    <w:name w:val="AmCrossRef"/>
    <w:basedOn w:val="Normal"/>
    <w:rsid w:val="00DB583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B583B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DB583B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DB583B"/>
    <w:pPr>
      <w:spacing w:before="600" w:after="360"/>
    </w:pPr>
  </w:style>
  <w:style w:type="paragraph" w:customStyle="1" w:styleId="NormalBoldCenter">
    <w:name w:val="NormalBoldCenter"/>
    <w:basedOn w:val="Normal"/>
    <w:rsid w:val="00DB583B"/>
    <w:pPr>
      <w:jc w:val="center"/>
    </w:pPr>
    <w:rPr>
      <w:b/>
    </w:rPr>
  </w:style>
  <w:style w:type="paragraph" w:customStyle="1" w:styleId="LetterSubject">
    <w:name w:val="LetterSubject"/>
    <w:basedOn w:val="Normal"/>
    <w:rsid w:val="00DB583B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DB583B"/>
    <w:pPr>
      <w:spacing w:before="1320"/>
    </w:pPr>
  </w:style>
  <w:style w:type="paragraph" w:customStyle="1" w:styleId="Normal12">
    <w:name w:val="Normal12"/>
    <w:basedOn w:val="Normal"/>
    <w:link w:val="Normal12Char"/>
    <w:rsid w:val="00DB583B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DB583B"/>
    <w:rPr>
      <w:rFonts w:ascii="Arial" w:hAnsi="Arial" w:cs="Arial"/>
      <w:b/>
      <w:sz w:val="24"/>
      <w:lang w:val="it-IT"/>
    </w:rPr>
  </w:style>
  <w:style w:type="character" w:customStyle="1" w:styleId="Normal12Char">
    <w:name w:val="Normal12 Char"/>
    <w:basedOn w:val="PageHeadingChar"/>
    <w:link w:val="Normal12"/>
    <w:rsid w:val="00DB583B"/>
    <w:rPr>
      <w:rFonts w:ascii="Arial" w:hAnsi="Arial" w:cs="Arial"/>
      <w:b w:val="0"/>
      <w:sz w:val="24"/>
      <w:lang w:val="it-IT"/>
    </w:rPr>
  </w:style>
  <w:style w:type="paragraph" w:styleId="Footer">
    <w:name w:val="footer"/>
    <w:basedOn w:val="Normal"/>
    <w:link w:val="FooterChar"/>
    <w:uiPriority w:val="99"/>
    <w:rsid w:val="00DB58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83B"/>
    <w:rPr>
      <w:sz w:val="24"/>
      <w:lang w:val="it-IT"/>
    </w:rPr>
  </w:style>
  <w:style w:type="character" w:styleId="CommentReference">
    <w:name w:val="annotation reference"/>
    <w:basedOn w:val="DefaultParagraphFont"/>
    <w:uiPriority w:val="99"/>
    <w:rsid w:val="00DB5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B58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83B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B5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B583B"/>
    <w:rPr>
      <w:b/>
      <w:bCs/>
      <w:lang w:val="it-IT"/>
    </w:rPr>
  </w:style>
  <w:style w:type="character" w:styleId="Emphasis">
    <w:name w:val="Emphasis"/>
    <w:basedOn w:val="DefaultParagraphFont"/>
    <w:uiPriority w:val="20"/>
    <w:qFormat/>
    <w:rsid w:val="00DB583B"/>
    <w:rPr>
      <w:i/>
      <w:iCs/>
    </w:rPr>
  </w:style>
  <w:style w:type="paragraph" w:customStyle="1" w:styleId="Normal12Hanging">
    <w:name w:val="Normal12Hanging"/>
    <w:basedOn w:val="Normal"/>
    <w:link w:val="CharChar1"/>
    <w:rsid w:val="008F4E03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8F4E03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EE1D4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EE1D43"/>
    <w:pPr>
      <w:tabs>
        <w:tab w:val="right" w:pos="9072"/>
      </w:tabs>
    </w:pPr>
  </w:style>
  <w:style w:type="paragraph" w:styleId="TOC4">
    <w:name w:val="toc 4"/>
    <w:basedOn w:val="Normal"/>
    <w:next w:val="Normal"/>
    <w:uiPriority w:val="39"/>
    <w:unhideWhenUsed/>
    <w:rsid w:val="00EE1D4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E1D43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E1D43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E1D43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E1D4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E1D4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EE1D43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EE1D43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EE1D4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E1D4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EE1D43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EE1D4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EE1D43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EE1D4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EE1D43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EE1D43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EE1D43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EE1D43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EE1D43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EE1D43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EE1D43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EE1D43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EE1D43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EE1D4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EE1D43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EE1D4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E1D4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E1D43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E1D43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EE1D43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EE1D43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EE1D43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EE1D43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EE1D43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EE1D43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EE1D4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EE1D4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EE1D4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EE1D4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EE1D4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EE1D4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EE1D4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EE1D4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EE1D4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EE1D4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EE1D4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EE1D4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EE1D43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EE1D43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EE1D43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EE1D43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EE1D43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EE1D43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EE1D43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EE1D43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EE1D43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EE1D43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EE1D43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EE1D43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EE1D43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EE1D43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EE1D43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EE1D43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E1D4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E1D4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E1D4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E1D4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E1D4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E1D4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EE1D4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E1D4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E1D4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E1D4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E1D4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E1D4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E1D4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E1D4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E1D43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E1D43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E1D43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EE1D43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EE1D43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EE1D43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EE1D43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EE1D43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EE1D43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EE1D43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EE1D43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EE1D43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EE1D43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EE1D43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EE1D43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EE1D43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EE1D43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EE1D43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EE1D43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EE1D43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EE1D43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E1D4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E1D4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EE1D43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E1D4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E1D43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EE1D43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E1D4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E1D4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E1D43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EE1D43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EE1D43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EE1D43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EE1D43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EE1D4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EE1D43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E1D43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EE1D43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E1D43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E1D43"/>
    <w:pPr>
      <w:spacing w:before="240"/>
    </w:pPr>
  </w:style>
  <w:style w:type="paragraph" w:customStyle="1" w:styleId="Accordtitre">
    <w:name w:val="Accord titre"/>
    <w:basedOn w:val="Normal"/>
    <w:rsid w:val="00EE1D43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EE1D4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EE1D4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E1D43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E1D4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E1D43"/>
    <w:pPr>
      <w:spacing w:after="240"/>
    </w:pPr>
  </w:style>
  <w:style w:type="paragraph" w:customStyle="1" w:styleId="Annexetitre">
    <w:name w:val="Annexe titre"/>
    <w:basedOn w:val="Normal"/>
    <w:next w:val="Normal"/>
    <w:rsid w:val="00EE1D4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E1D43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EE1D43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E1D43"/>
    <w:rPr>
      <w:rFonts w:eastAsiaTheme="minorHAns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EE1D43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E1D4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E1D4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E1D4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E1D4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E1D43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E1D4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E1D4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E1D43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E1D43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E1D43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E1D43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E1D43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E1D43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E1D43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E1D43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E1D43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E1D43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E1D43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E1D43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E1D43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E1D43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E1D43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E1D43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E1D43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E1D4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E1D4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EE1D43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it-IT" w:eastAsia="en-US"/>
    </w:rPr>
  </w:style>
  <w:style w:type="paragraph" w:customStyle="1" w:styleId="CommentFwdQuotedText">
    <w:name w:val="CommentFwdQuotedText"/>
    <w:basedOn w:val="Normal"/>
    <w:rsid w:val="00EE1D4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E1D4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E1D43"/>
    <w:rPr>
      <w:b/>
      <w:i/>
    </w:rPr>
  </w:style>
  <w:style w:type="character" w:customStyle="1" w:styleId="diff-tte-removed">
    <w:name w:val="diff-tte-removed"/>
    <w:basedOn w:val="DefaultParagraphFont"/>
    <w:rsid w:val="00EE1D43"/>
    <w:rPr>
      <w:strike/>
    </w:rPr>
  </w:style>
  <w:style w:type="paragraph" w:styleId="NormalWeb">
    <w:name w:val="Normal (Web)"/>
    <w:basedOn w:val="Normal"/>
    <w:uiPriority w:val="99"/>
    <w:unhideWhenUsed/>
    <w:rsid w:val="00EE1D43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EE1D43"/>
    <w:rPr>
      <w:rFonts w:eastAsiaTheme="minorHAnsi"/>
      <w:sz w:val="24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B74A5-2C2E-4E65-B602-5CA8E1619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AP</dc:creator>
  <cp:keywords/>
  <cp:lastModifiedBy>AP</cp:lastModifiedBy>
  <cp:revision>2</cp:revision>
  <cp:lastPrinted>2004-11-19T15:42:00Z</cp:lastPrinted>
  <dcterms:created xsi:type="dcterms:W3CDTF">2024-09-20T06:26:00Z</dcterms:created>
  <dcterms:modified xsi:type="dcterms:W3CDTF">2024-09-20T06:26:00Z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