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04DF0" w:rsidTr="0010095E">
        <w:trPr>
          <w:trHeight w:hRule="exact" w:val="1418"/>
        </w:trPr>
        <w:tc>
          <w:tcPr>
            <w:tcW w:w="6804" w:type="dxa"/>
            <w:shd w:val="clear" w:color="auto" w:fill="auto"/>
            <w:vAlign w:val="center"/>
          </w:tcPr>
          <w:p w:rsidR="00751A4A" w:rsidRPr="00E04DF0" w:rsidRDefault="00D4055B" w:rsidP="0010095E">
            <w:pPr>
              <w:pStyle w:val="EPName"/>
            </w:pPr>
            <w:r w:rsidRPr="00E04DF0">
              <w:t>Parlement européen</w:t>
            </w:r>
          </w:p>
          <w:p w:rsidR="00751A4A" w:rsidRPr="00E04DF0" w:rsidRDefault="00817416" w:rsidP="00756632">
            <w:pPr>
              <w:pStyle w:val="EPTerm"/>
              <w:rPr>
                <w:rStyle w:val="HideTWBExt"/>
                <w:noProof w:val="0"/>
                <w:vanish w:val="0"/>
                <w:color w:val="auto"/>
              </w:rPr>
            </w:pPr>
            <w:r w:rsidRPr="00437E5F">
              <w:t>2019</w:t>
            </w:r>
            <w:r w:rsidRPr="00E04DF0">
              <w:t>-</w:t>
            </w:r>
            <w:r w:rsidRPr="00437E5F">
              <w:t>2024</w:t>
            </w:r>
          </w:p>
        </w:tc>
        <w:tc>
          <w:tcPr>
            <w:tcW w:w="2268" w:type="dxa"/>
            <w:shd w:val="clear" w:color="auto" w:fill="auto"/>
          </w:tcPr>
          <w:p w:rsidR="00751A4A" w:rsidRPr="00E04DF0" w:rsidRDefault="00187494" w:rsidP="0010095E">
            <w:pPr>
              <w:pStyle w:val="EPLogo"/>
            </w:pPr>
            <w:r w:rsidRPr="00E04DF0">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04DF0" w:rsidRDefault="00D058B8" w:rsidP="004C5D52">
      <w:pPr>
        <w:pStyle w:val="LineTop"/>
      </w:pPr>
    </w:p>
    <w:p w:rsidR="00680577" w:rsidRPr="00E04DF0" w:rsidRDefault="00D4055B" w:rsidP="00680577">
      <w:pPr>
        <w:pStyle w:val="EPBodyTA1"/>
      </w:pPr>
      <w:r w:rsidRPr="00E04DF0">
        <w:t>TEXTES ADOPTÉS</w:t>
      </w:r>
    </w:p>
    <w:p w:rsidR="00D058B8" w:rsidRPr="00E04DF0" w:rsidRDefault="00D058B8" w:rsidP="00D058B8">
      <w:pPr>
        <w:pStyle w:val="LineBottom"/>
      </w:pPr>
    </w:p>
    <w:p w:rsidR="00D4055B" w:rsidRPr="00E04DF0" w:rsidRDefault="00D4055B" w:rsidP="00D4055B">
      <w:pPr>
        <w:pStyle w:val="ATHeading1"/>
      </w:pPr>
      <w:bookmarkStart w:id="0" w:name="TANumber"/>
      <w:r w:rsidRPr="00E04DF0">
        <w:t>P</w:t>
      </w:r>
      <w:r w:rsidRPr="00437E5F">
        <w:t>9</w:t>
      </w:r>
      <w:r w:rsidRPr="00E04DF0">
        <w:t>_</w:t>
      </w:r>
      <w:proofErr w:type="gramStart"/>
      <w:r w:rsidRPr="00E04DF0">
        <w:t>TA(</w:t>
      </w:r>
      <w:proofErr w:type="gramEnd"/>
      <w:r w:rsidRPr="00437E5F">
        <w:t>2024</w:t>
      </w:r>
      <w:r w:rsidRPr="00E04DF0">
        <w:t>)</w:t>
      </w:r>
      <w:r w:rsidRPr="00437E5F">
        <w:t>0</w:t>
      </w:r>
      <w:bookmarkEnd w:id="0"/>
      <w:r w:rsidR="0030021C" w:rsidRPr="00437E5F">
        <w:t>343</w:t>
      </w:r>
    </w:p>
    <w:p w:rsidR="00D4055B" w:rsidRPr="00E04DF0" w:rsidRDefault="006549A5" w:rsidP="00D4055B">
      <w:pPr>
        <w:pStyle w:val="ATHeading2"/>
      </w:pPr>
      <w:r w:rsidRPr="006549A5">
        <w:rPr>
          <w:bCs/>
        </w:rPr>
        <w:t>Établissement d'une facilité pour les réformes et la croissance en faveur des Balkans occidentaux</w:t>
      </w:r>
    </w:p>
    <w:p w:rsidR="00D4055B" w:rsidRPr="00E04DF0" w:rsidRDefault="00D4055B" w:rsidP="00D4055B">
      <w:pPr>
        <w:rPr>
          <w:i/>
          <w:vanish/>
        </w:rPr>
      </w:pPr>
      <w:r w:rsidRPr="00E04DF0">
        <w:rPr>
          <w:i/>
        </w:rPr>
        <w:fldChar w:fldCharType="begin"/>
      </w:r>
      <w:r w:rsidRPr="00E04DF0">
        <w:rPr>
          <w:i/>
        </w:rPr>
        <w:instrText xml:space="preserve"> TC"(</w:instrText>
      </w:r>
      <w:bookmarkStart w:id="1" w:name="DocNumber"/>
      <w:r w:rsidRPr="00E04DF0">
        <w:rPr>
          <w:i/>
        </w:rPr>
        <w:instrText>A</w:instrText>
      </w:r>
      <w:r w:rsidRPr="00437E5F">
        <w:rPr>
          <w:i/>
        </w:rPr>
        <w:instrText>9</w:instrText>
      </w:r>
      <w:r w:rsidRPr="00E04DF0">
        <w:rPr>
          <w:i/>
        </w:rPr>
        <w:instrText>-</w:instrText>
      </w:r>
      <w:r w:rsidRPr="00437E5F">
        <w:rPr>
          <w:i/>
        </w:rPr>
        <w:instrText>0085</w:instrText>
      </w:r>
      <w:r w:rsidRPr="00E04DF0">
        <w:rPr>
          <w:i/>
        </w:rPr>
        <w:instrText>/</w:instrText>
      </w:r>
      <w:r w:rsidRPr="00437E5F">
        <w:rPr>
          <w:i/>
        </w:rPr>
        <w:instrText>2024</w:instrText>
      </w:r>
      <w:bookmarkEnd w:id="1"/>
      <w:r w:rsidRPr="00E04DF0">
        <w:rPr>
          <w:i/>
        </w:rPr>
        <w:instrText xml:space="preserve"> - Rapporteur</w:instrText>
      </w:r>
      <w:r w:rsidR="00D002CB">
        <w:rPr>
          <w:i/>
        </w:rPr>
        <w:instrText>s</w:instrText>
      </w:r>
      <w:r w:rsidRPr="00E04DF0">
        <w:rPr>
          <w:i/>
        </w:rPr>
        <w:instrText xml:space="preserve">: Tonino </w:instrText>
      </w:r>
      <w:proofErr w:type="spellStart"/>
      <w:r w:rsidRPr="00E04DF0">
        <w:rPr>
          <w:i/>
        </w:rPr>
        <w:instrText>Picula</w:instrText>
      </w:r>
      <w:proofErr w:type="spellEnd"/>
      <w:r w:rsidRPr="00E04DF0">
        <w:rPr>
          <w:i/>
        </w:rPr>
        <w:instrText xml:space="preserve">, </w:instrText>
      </w:r>
      <w:proofErr w:type="spellStart"/>
      <w:r w:rsidRPr="00E04DF0">
        <w:rPr>
          <w:i/>
        </w:rPr>
        <w:instrText>Karlo</w:instrText>
      </w:r>
      <w:proofErr w:type="spellEnd"/>
      <w:r w:rsidRPr="00E04DF0">
        <w:rPr>
          <w:i/>
        </w:rPr>
        <w:instrText xml:space="preserve"> </w:instrText>
      </w:r>
      <w:proofErr w:type="spellStart"/>
      <w:r w:rsidRPr="00E04DF0">
        <w:rPr>
          <w:i/>
        </w:rPr>
        <w:instrText>Ressler</w:instrText>
      </w:r>
      <w:proofErr w:type="spellEnd"/>
      <w:r w:rsidRPr="00E04DF0">
        <w:rPr>
          <w:i/>
        </w:rPr>
        <w:instrText>)"\l</w:instrText>
      </w:r>
      <w:r w:rsidRPr="00437E5F">
        <w:rPr>
          <w:i/>
        </w:rPr>
        <w:instrText>3</w:instrText>
      </w:r>
      <w:r w:rsidRPr="00E04DF0">
        <w:rPr>
          <w:i/>
        </w:rPr>
        <w:instrText xml:space="preserve"> \n&gt; \* MERGEFORMAT </w:instrText>
      </w:r>
      <w:r w:rsidRPr="00E04DF0">
        <w:rPr>
          <w:i/>
        </w:rPr>
        <w:fldChar w:fldCharType="end"/>
      </w:r>
    </w:p>
    <w:p w:rsidR="00D4055B" w:rsidRPr="00E04DF0" w:rsidRDefault="00D4055B" w:rsidP="00D4055B">
      <w:pPr>
        <w:rPr>
          <w:vanish/>
        </w:rPr>
      </w:pPr>
      <w:bookmarkStart w:id="2" w:name="Commission"/>
      <w:r w:rsidRPr="00E04DF0">
        <w:rPr>
          <w:vanish/>
        </w:rPr>
        <w:t>Commission des affaires étrangères</w:t>
      </w:r>
      <w:bookmarkEnd w:id="2"/>
      <w:r w:rsidR="005A7DB0">
        <w:rPr>
          <w:vanish/>
        </w:rPr>
        <w:t xml:space="preserve"> et</w:t>
      </w:r>
      <w:r w:rsidR="00D002CB">
        <w:rPr>
          <w:vanish/>
        </w:rPr>
        <w:t xml:space="preserve"> </w:t>
      </w:r>
      <w:r w:rsidR="00D002CB" w:rsidRPr="00862291">
        <w:rPr>
          <w:vanish/>
        </w:rPr>
        <w:t>Commission des budgets</w:t>
      </w:r>
    </w:p>
    <w:p w:rsidR="00D4055B" w:rsidRPr="00E04DF0" w:rsidRDefault="00D4055B" w:rsidP="00D4055B">
      <w:pPr>
        <w:rPr>
          <w:vanish/>
        </w:rPr>
      </w:pPr>
      <w:bookmarkStart w:id="3" w:name="PE"/>
      <w:r w:rsidRPr="00E04DF0">
        <w:rPr>
          <w:vanish/>
        </w:rPr>
        <w:t>PE</w:t>
      </w:r>
      <w:r w:rsidRPr="00437E5F">
        <w:rPr>
          <w:vanish/>
        </w:rPr>
        <w:t>758</w:t>
      </w:r>
      <w:r w:rsidRPr="00E04DF0">
        <w:rPr>
          <w:vanish/>
        </w:rPr>
        <w:t>.</w:t>
      </w:r>
      <w:r w:rsidRPr="00437E5F">
        <w:rPr>
          <w:vanish/>
        </w:rPr>
        <w:t>888</w:t>
      </w:r>
      <w:bookmarkEnd w:id="3"/>
    </w:p>
    <w:p w:rsidR="00D4055B" w:rsidRPr="00E04DF0" w:rsidRDefault="00D4055B" w:rsidP="00D4055B">
      <w:pPr>
        <w:pStyle w:val="ATHeading3"/>
      </w:pPr>
      <w:bookmarkStart w:id="4" w:name="Sujet"/>
      <w:r w:rsidRPr="00E04DF0">
        <w:t xml:space="preserve">Résolution législative du Parlement européen du </w:t>
      </w:r>
      <w:r w:rsidR="00954258" w:rsidRPr="00437E5F">
        <w:t>24</w:t>
      </w:r>
      <w:r w:rsidR="008B7ECA">
        <w:t xml:space="preserve"> avril</w:t>
      </w:r>
      <w:r w:rsidRPr="00E04DF0">
        <w:t xml:space="preserve"> </w:t>
      </w:r>
      <w:r w:rsidRPr="00437E5F">
        <w:t>2024</w:t>
      </w:r>
      <w:r w:rsidRPr="00E04DF0">
        <w:t xml:space="preserve"> sur la proposition de règlement du Parlement européen et du Conseil établissant une facilité pour les réformes et la croissance en faveur des Balkans occidentaux</w:t>
      </w:r>
      <w:bookmarkEnd w:id="4"/>
      <w:r w:rsidRPr="00E04DF0">
        <w:t xml:space="preserve"> </w:t>
      </w:r>
      <w:bookmarkStart w:id="5" w:name="References"/>
      <w:r w:rsidRPr="00E04DF0">
        <w:t>(</w:t>
      </w:r>
      <w:proofErr w:type="gramStart"/>
      <w:r w:rsidRPr="00E04DF0">
        <w:t>COM(</w:t>
      </w:r>
      <w:proofErr w:type="gramEnd"/>
      <w:r w:rsidRPr="00437E5F">
        <w:t>2023</w:t>
      </w:r>
      <w:r w:rsidRPr="00E04DF0">
        <w:t>)</w:t>
      </w:r>
      <w:r w:rsidRPr="00437E5F">
        <w:t>0692</w:t>
      </w:r>
      <w:r w:rsidRPr="00E04DF0">
        <w:t xml:space="preserve"> – C</w:t>
      </w:r>
      <w:r w:rsidRPr="00437E5F">
        <w:t>9</w:t>
      </w:r>
      <w:r w:rsidRPr="00E04DF0">
        <w:t>-</w:t>
      </w:r>
      <w:r w:rsidRPr="00437E5F">
        <w:t>0408</w:t>
      </w:r>
      <w:r w:rsidRPr="00E04DF0">
        <w:t>/</w:t>
      </w:r>
      <w:r w:rsidRPr="00437E5F">
        <w:t>2023</w:t>
      </w:r>
      <w:r w:rsidRPr="00E04DF0">
        <w:t xml:space="preserve"> – </w:t>
      </w:r>
      <w:r w:rsidRPr="00437E5F">
        <w:t>2023</w:t>
      </w:r>
      <w:r w:rsidRPr="00E04DF0">
        <w:t>/</w:t>
      </w:r>
      <w:r w:rsidRPr="00437E5F">
        <w:t>0397</w:t>
      </w:r>
      <w:r w:rsidRPr="00E04DF0">
        <w:t>(COD))</w:t>
      </w:r>
      <w:bookmarkEnd w:id="5"/>
    </w:p>
    <w:p w:rsidR="00E81B8B" w:rsidRPr="00E04DF0" w:rsidRDefault="00E81B8B" w:rsidP="00E81B8B">
      <w:pPr>
        <w:pStyle w:val="NormalBold"/>
      </w:pPr>
      <w:bookmarkStart w:id="6" w:name="TextBodyBegin"/>
      <w:bookmarkEnd w:id="6"/>
      <w:r w:rsidRPr="00E04DF0">
        <w:t>(Procédure législative ordinaire: première lecture)</w:t>
      </w:r>
    </w:p>
    <w:p w:rsidR="00E81B8B" w:rsidRPr="00E04DF0" w:rsidRDefault="00E81B8B" w:rsidP="00E81B8B">
      <w:pPr>
        <w:pStyle w:val="EPComma"/>
      </w:pPr>
      <w:r w:rsidRPr="00E04DF0">
        <w:rPr>
          <w:i/>
        </w:rPr>
        <w:t>Le Parlement européen</w:t>
      </w:r>
      <w:r w:rsidRPr="00E04DF0">
        <w:t>,</w:t>
      </w:r>
    </w:p>
    <w:p w:rsidR="00E81B8B" w:rsidRPr="00E04DF0" w:rsidRDefault="00E81B8B" w:rsidP="00E81B8B">
      <w:pPr>
        <w:pStyle w:val="NormalHanging12a"/>
      </w:pPr>
      <w:r w:rsidRPr="00E04DF0">
        <w:t>–</w:t>
      </w:r>
      <w:r w:rsidRPr="00E04DF0">
        <w:tab/>
        <w:t>vu la proposition de la Commission au Parlement européen et au Conseil (</w:t>
      </w:r>
      <w:proofErr w:type="gramStart"/>
      <w:r w:rsidRPr="00E04DF0">
        <w:t>COM(</w:t>
      </w:r>
      <w:proofErr w:type="gramEnd"/>
      <w:r w:rsidRPr="00437E5F">
        <w:t>2023</w:t>
      </w:r>
      <w:r w:rsidRPr="00E04DF0">
        <w:t>)</w:t>
      </w:r>
      <w:r w:rsidRPr="00437E5F">
        <w:t>0692</w:t>
      </w:r>
      <w:r w:rsidRPr="00E04DF0">
        <w:t>),</w:t>
      </w:r>
    </w:p>
    <w:p w:rsidR="00E81B8B" w:rsidRPr="00E04DF0" w:rsidRDefault="00E81B8B" w:rsidP="00E81B8B">
      <w:pPr>
        <w:pStyle w:val="NormalHanging12a"/>
      </w:pPr>
      <w:r w:rsidRPr="00E04DF0">
        <w:t>–</w:t>
      </w:r>
      <w:r w:rsidRPr="00E04DF0">
        <w:tab/>
        <w:t>vu l’article </w:t>
      </w:r>
      <w:r w:rsidRPr="00437E5F">
        <w:t>294</w:t>
      </w:r>
      <w:r w:rsidRPr="00E04DF0">
        <w:t>, paragraphe </w:t>
      </w:r>
      <w:r w:rsidRPr="00437E5F">
        <w:t>2</w:t>
      </w:r>
      <w:r w:rsidRPr="00E04DF0">
        <w:t>, l’article </w:t>
      </w:r>
      <w:r w:rsidRPr="00437E5F">
        <w:t>212</w:t>
      </w:r>
      <w:r w:rsidRPr="00E04DF0">
        <w:t xml:space="preserve"> et l’article </w:t>
      </w:r>
      <w:r w:rsidRPr="00437E5F">
        <w:t>322</w:t>
      </w:r>
      <w:r w:rsidRPr="00E04DF0">
        <w:t>, paragraphe </w:t>
      </w:r>
      <w:r w:rsidRPr="00437E5F">
        <w:t>1</w:t>
      </w:r>
      <w:r w:rsidRPr="00E04DF0">
        <w:t>, du traité sur le fonctionnement de l’Union européenne, conformément auxquels la proposition lui a été présentée par la Commission (C</w:t>
      </w:r>
      <w:r w:rsidRPr="00437E5F">
        <w:t>9</w:t>
      </w:r>
      <w:r w:rsidRPr="00E04DF0">
        <w:noBreakHyphen/>
      </w:r>
      <w:r w:rsidRPr="00437E5F">
        <w:t>0408</w:t>
      </w:r>
      <w:r w:rsidRPr="00E04DF0">
        <w:t>/</w:t>
      </w:r>
      <w:r w:rsidRPr="00437E5F">
        <w:t>2023</w:t>
      </w:r>
      <w:r w:rsidRPr="00E04DF0">
        <w:t>),</w:t>
      </w:r>
    </w:p>
    <w:p w:rsidR="00E81B8B" w:rsidRDefault="00E81B8B" w:rsidP="00E81B8B">
      <w:pPr>
        <w:pStyle w:val="NormalHanging12a"/>
      </w:pPr>
      <w:r w:rsidRPr="00E04DF0">
        <w:t>–</w:t>
      </w:r>
      <w:r w:rsidRPr="00E04DF0">
        <w:tab/>
        <w:t>vu l’article </w:t>
      </w:r>
      <w:r w:rsidRPr="00437E5F">
        <w:t>294</w:t>
      </w:r>
      <w:r w:rsidRPr="00E04DF0">
        <w:t>, paragraphe </w:t>
      </w:r>
      <w:r w:rsidRPr="00437E5F">
        <w:t>3</w:t>
      </w:r>
      <w:r w:rsidRPr="00E04DF0">
        <w:t>, du traité sur le fonctionnement de l’Union européenne,</w:t>
      </w:r>
    </w:p>
    <w:p w:rsidR="00D002CB" w:rsidRDefault="00D002CB" w:rsidP="00E81B8B">
      <w:pPr>
        <w:pStyle w:val="NormalHanging12a"/>
      </w:pPr>
      <w:r w:rsidRPr="00E04DF0">
        <w:t>–</w:t>
      </w:r>
      <w:r w:rsidRPr="00E04DF0">
        <w:tab/>
      </w:r>
      <w:r w:rsidR="00E27DF5">
        <w:t xml:space="preserve">vu l’avis de la Cour des comptes du </w:t>
      </w:r>
      <w:r w:rsidR="006B45DB" w:rsidRPr="00437E5F">
        <w:t>30</w:t>
      </w:r>
      <w:r w:rsidR="006B45DB">
        <w:t xml:space="preserve"> janvier </w:t>
      </w:r>
      <w:r w:rsidR="006B45DB" w:rsidRPr="00437E5F">
        <w:t>2024</w:t>
      </w:r>
      <w:r w:rsidR="00E27DF5">
        <w:rPr>
          <w:rStyle w:val="FootnoteReference"/>
        </w:rPr>
        <w:footnoteReference w:id="1"/>
      </w:r>
      <w:r w:rsidR="00A17B26">
        <w:t>,</w:t>
      </w:r>
    </w:p>
    <w:p w:rsidR="00D002CB" w:rsidRPr="00E04DF0" w:rsidRDefault="00D002CB" w:rsidP="00E81B8B">
      <w:pPr>
        <w:pStyle w:val="NormalHanging12a"/>
      </w:pPr>
      <w:r w:rsidRPr="00E04DF0">
        <w:t>–</w:t>
      </w:r>
      <w:r w:rsidRPr="00E04DF0">
        <w:tab/>
      </w:r>
      <w:r w:rsidR="00E27DF5" w:rsidRPr="00E27DF5">
        <w:t>vu l’accord provisoire approuvé en vertu de l’article </w:t>
      </w:r>
      <w:r w:rsidR="00E27DF5" w:rsidRPr="00437E5F">
        <w:t>74</w:t>
      </w:r>
      <w:r w:rsidR="00E27DF5" w:rsidRPr="00E27DF5">
        <w:t>, paragraphe </w:t>
      </w:r>
      <w:r w:rsidR="00E27DF5" w:rsidRPr="00437E5F">
        <w:t>4</w:t>
      </w:r>
      <w:r w:rsidR="00E27DF5" w:rsidRPr="00E27DF5">
        <w:t>, de son règlement intérieur par l</w:t>
      </w:r>
      <w:r w:rsidR="00E27DF5">
        <w:t>es</w:t>
      </w:r>
      <w:r w:rsidR="00E27DF5" w:rsidRPr="00E27DF5">
        <w:t xml:space="preserve"> commission</w:t>
      </w:r>
      <w:r w:rsidR="00E27DF5">
        <w:t>s</w:t>
      </w:r>
      <w:r w:rsidR="00E27DF5" w:rsidRPr="00E27DF5">
        <w:t xml:space="preserve"> compétente</w:t>
      </w:r>
      <w:r w:rsidR="00E27DF5">
        <w:t>s</w:t>
      </w:r>
      <w:r w:rsidR="00E27DF5" w:rsidRPr="00E27DF5">
        <w:t xml:space="preserve"> et l’engagement pris par le représentant du Conseil, par lettre du </w:t>
      </w:r>
      <w:r w:rsidR="00E27DF5" w:rsidRPr="00437E5F">
        <w:t>8</w:t>
      </w:r>
      <w:r w:rsidR="00E27DF5" w:rsidRPr="00E27DF5">
        <w:t> </w:t>
      </w:r>
      <w:r w:rsidR="00E27DF5">
        <w:t>avril</w:t>
      </w:r>
      <w:r w:rsidR="00E27DF5" w:rsidRPr="00E27DF5">
        <w:t> </w:t>
      </w:r>
      <w:r w:rsidR="00E27DF5" w:rsidRPr="00437E5F">
        <w:t>2024</w:t>
      </w:r>
      <w:r w:rsidR="00E27DF5" w:rsidRPr="00E27DF5">
        <w:t>, d’approuver la position du Parlement européen, conformément à l’article </w:t>
      </w:r>
      <w:r w:rsidR="00E27DF5" w:rsidRPr="00437E5F">
        <w:t>294</w:t>
      </w:r>
      <w:r w:rsidR="00E27DF5" w:rsidRPr="00E27DF5">
        <w:t>, paragraphe </w:t>
      </w:r>
      <w:r w:rsidR="00E27DF5" w:rsidRPr="00437E5F">
        <w:t>4</w:t>
      </w:r>
      <w:r w:rsidR="00E27DF5" w:rsidRPr="00E27DF5">
        <w:t>, du traité sur le fonctionnement de l’Union européenne,</w:t>
      </w:r>
    </w:p>
    <w:p w:rsidR="00E81B8B" w:rsidRDefault="00E81B8B" w:rsidP="00E81B8B">
      <w:pPr>
        <w:pStyle w:val="NormalHanging12a"/>
      </w:pPr>
      <w:r w:rsidRPr="00E04DF0">
        <w:t>–</w:t>
      </w:r>
      <w:r w:rsidRPr="00E04DF0">
        <w:tab/>
        <w:t>vu l’article </w:t>
      </w:r>
      <w:r w:rsidRPr="00437E5F">
        <w:t>59</w:t>
      </w:r>
      <w:r w:rsidRPr="00E04DF0">
        <w:t xml:space="preserve"> de son règlement intérieur,</w:t>
      </w:r>
    </w:p>
    <w:p w:rsidR="00EA1104" w:rsidRPr="00E04DF0" w:rsidRDefault="00EA1104">
      <w:pPr>
        <w:pStyle w:val="NormalHanging12a"/>
      </w:pPr>
      <w:r w:rsidRPr="00E04DF0">
        <w:t>–</w:t>
      </w:r>
      <w:r w:rsidRPr="00E04DF0">
        <w:tab/>
      </w:r>
      <w:r>
        <w:t xml:space="preserve">vu les délibérations </w:t>
      </w:r>
      <w:r w:rsidRPr="00EA1104">
        <w:t xml:space="preserve">conjointes de la commission des affaires étrangères et de la commission des budgets en vertu de l'article </w:t>
      </w:r>
      <w:r w:rsidRPr="00437E5F">
        <w:t>58</w:t>
      </w:r>
      <w:r w:rsidRPr="00EA1104">
        <w:t xml:space="preserve"> du règlement</w:t>
      </w:r>
      <w:r>
        <w:t xml:space="preserve"> intérieur,</w:t>
      </w:r>
    </w:p>
    <w:p w:rsidR="00E81B8B" w:rsidRPr="00E04DF0" w:rsidRDefault="00E81B8B" w:rsidP="00E81B8B">
      <w:pPr>
        <w:pStyle w:val="NormalHanging12a"/>
      </w:pPr>
      <w:r w:rsidRPr="00E04DF0">
        <w:t>–</w:t>
      </w:r>
      <w:r w:rsidRPr="00E04DF0">
        <w:tab/>
        <w:t xml:space="preserve">vu les avis de la commission du commerce international et de la commission du </w:t>
      </w:r>
      <w:r w:rsidRPr="00E04DF0">
        <w:lastRenderedPageBreak/>
        <w:t>développement régional,</w:t>
      </w:r>
    </w:p>
    <w:p w:rsidR="00E81B8B" w:rsidRPr="00E04DF0" w:rsidRDefault="00E81B8B" w:rsidP="00E81B8B">
      <w:pPr>
        <w:pStyle w:val="NormalHanging12a"/>
      </w:pPr>
      <w:r w:rsidRPr="00E04DF0">
        <w:t>–</w:t>
      </w:r>
      <w:r w:rsidRPr="00E04DF0">
        <w:tab/>
        <w:t>vu la lettre de la commission du contrôle budgétaire,</w:t>
      </w:r>
    </w:p>
    <w:p w:rsidR="00E81B8B" w:rsidRPr="00E04DF0" w:rsidRDefault="00E81B8B" w:rsidP="00E81B8B">
      <w:pPr>
        <w:pStyle w:val="NormalHanging12a"/>
      </w:pPr>
      <w:r w:rsidRPr="00E04DF0">
        <w:t>–</w:t>
      </w:r>
      <w:r w:rsidRPr="00E04DF0">
        <w:tab/>
        <w:t>vu le rapport de la commission des affaires étrangères et de la commission des budgets (A</w:t>
      </w:r>
      <w:r w:rsidRPr="00437E5F">
        <w:t>9</w:t>
      </w:r>
      <w:r w:rsidRPr="00E04DF0">
        <w:t>-</w:t>
      </w:r>
      <w:r w:rsidRPr="00437E5F">
        <w:t>0085</w:t>
      </w:r>
      <w:r w:rsidRPr="00E04DF0">
        <w:t>/</w:t>
      </w:r>
      <w:r w:rsidRPr="00437E5F">
        <w:t>2024</w:t>
      </w:r>
      <w:r w:rsidRPr="00E04DF0">
        <w:t>),</w:t>
      </w:r>
    </w:p>
    <w:p w:rsidR="00E81B8B" w:rsidRDefault="00E81B8B" w:rsidP="00E81B8B">
      <w:pPr>
        <w:pStyle w:val="NormalHanging12a"/>
      </w:pPr>
      <w:r w:rsidRPr="00437E5F">
        <w:t>1</w:t>
      </w:r>
      <w:r w:rsidRPr="00E04DF0">
        <w:t>.</w:t>
      </w:r>
      <w:r w:rsidRPr="00E04DF0">
        <w:tab/>
        <w:t>arrête la position en première lecture figurant ci-après;</w:t>
      </w:r>
    </w:p>
    <w:p w:rsidR="00294A1F" w:rsidRPr="00E04DF0" w:rsidRDefault="00294A1F" w:rsidP="00E81B8B">
      <w:pPr>
        <w:pStyle w:val="NormalHanging12a"/>
      </w:pPr>
      <w:r w:rsidRPr="00437E5F">
        <w:t>2</w:t>
      </w:r>
      <w:r>
        <w:t>.</w:t>
      </w:r>
      <w:r>
        <w:tab/>
        <w:t xml:space="preserve">approuve la déclaration </w:t>
      </w:r>
      <w:r w:rsidRPr="00294A1F">
        <w:t>commune du Parlement européen et du Conseil</w:t>
      </w:r>
      <w:r>
        <w:t xml:space="preserve"> </w:t>
      </w:r>
      <w:r w:rsidRPr="00294A1F">
        <w:t>annexée à la présente résolution</w:t>
      </w:r>
      <w:r>
        <w:t>, qui sera</w:t>
      </w:r>
      <w:r w:rsidRPr="00294A1F">
        <w:t xml:space="preserve"> publiée dans la série C du </w:t>
      </w:r>
      <w:r w:rsidRPr="00294A1F">
        <w:rPr>
          <w:i/>
        </w:rPr>
        <w:t>Journal officiel de l’Union européenne</w:t>
      </w:r>
      <w:r w:rsidRPr="00294A1F">
        <w:t>;</w:t>
      </w:r>
    </w:p>
    <w:p w:rsidR="00E81B8B" w:rsidRPr="00E04DF0" w:rsidRDefault="00294A1F" w:rsidP="00E81B8B">
      <w:pPr>
        <w:pStyle w:val="NormalHanging12a"/>
      </w:pPr>
      <w:r w:rsidRPr="00437E5F">
        <w:t>3</w:t>
      </w:r>
      <w:r w:rsidR="00E81B8B" w:rsidRPr="00E04DF0">
        <w:t>.</w:t>
      </w:r>
      <w:r w:rsidR="00E81B8B" w:rsidRPr="00E04DF0">
        <w:tab/>
        <w:t>demande à la Commission de le saisir à nouveau, si elle remplace, modifie de manière substantielle ou entend modifier de manière substantielle sa proposition;</w:t>
      </w:r>
    </w:p>
    <w:p w:rsidR="00E81B8B" w:rsidRPr="00E04DF0" w:rsidRDefault="00294A1F" w:rsidP="00E81B8B">
      <w:pPr>
        <w:pStyle w:val="NormalHanging12a"/>
      </w:pPr>
      <w:r w:rsidRPr="00437E5F">
        <w:t>4</w:t>
      </w:r>
      <w:r w:rsidR="00E81B8B" w:rsidRPr="00E04DF0">
        <w:t>.</w:t>
      </w:r>
      <w:r w:rsidR="00E81B8B" w:rsidRPr="00E04DF0">
        <w:tab/>
        <w:t>charge sa Présidente de transmettre la position du Parlement au Conseil, à la Commission ainsi qu’aux parlements nationaux.</w:t>
      </w:r>
    </w:p>
    <w:p w:rsidR="00E81B8B" w:rsidRPr="00E04DF0" w:rsidRDefault="00E81B8B" w:rsidP="00E81B8B"/>
    <w:p w:rsidR="00C7075C" w:rsidRDefault="00C7075C" w:rsidP="0018337A">
      <w:pPr>
        <w:widowControl/>
        <w:sectPr w:rsidR="00C7075C" w:rsidSect="00E04DF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C7075C" w:rsidRDefault="00C7075C" w:rsidP="00C7075C">
      <w:pPr>
        <w:autoSpaceDE w:val="0"/>
        <w:autoSpaceDN w:val="0"/>
        <w:adjustRightInd w:val="0"/>
        <w:spacing w:after="240"/>
        <w:rPr>
          <w:rFonts w:eastAsia="Calibri"/>
          <w:b/>
          <w:bCs/>
          <w:color w:val="000000"/>
          <w:szCs w:val="24"/>
        </w:rPr>
      </w:pPr>
      <w:r w:rsidRPr="00B36B43">
        <w:rPr>
          <w:rFonts w:eastAsia="Calibri"/>
          <w:b/>
          <w:bCs/>
          <w:color w:val="000000"/>
          <w:szCs w:val="24"/>
        </w:rPr>
        <w:lastRenderedPageBreak/>
        <w:t>P</w:t>
      </w:r>
      <w:r w:rsidRPr="00437E5F">
        <w:rPr>
          <w:rFonts w:eastAsia="Calibri"/>
          <w:b/>
          <w:bCs/>
          <w:color w:val="000000"/>
          <w:szCs w:val="24"/>
        </w:rPr>
        <w:t>9</w:t>
      </w:r>
      <w:r w:rsidRPr="00B36B43">
        <w:rPr>
          <w:rFonts w:eastAsia="Calibri"/>
          <w:b/>
          <w:bCs/>
          <w:color w:val="000000"/>
          <w:szCs w:val="24"/>
        </w:rPr>
        <w:t>_TC</w:t>
      </w:r>
      <w:r w:rsidRPr="00437E5F">
        <w:rPr>
          <w:rFonts w:eastAsia="Calibri"/>
          <w:b/>
          <w:bCs/>
          <w:color w:val="000000"/>
          <w:szCs w:val="24"/>
        </w:rPr>
        <w:t>1</w:t>
      </w:r>
      <w:r w:rsidRPr="00B36B43">
        <w:rPr>
          <w:rFonts w:eastAsia="Calibri"/>
          <w:b/>
          <w:bCs/>
          <w:color w:val="000000"/>
          <w:szCs w:val="24"/>
        </w:rPr>
        <w:t>-</w:t>
      </w:r>
      <w:proofErr w:type="gramStart"/>
      <w:r w:rsidRPr="00B36B43">
        <w:rPr>
          <w:rFonts w:eastAsia="Calibri"/>
          <w:b/>
          <w:bCs/>
          <w:color w:val="000000"/>
          <w:szCs w:val="24"/>
        </w:rPr>
        <w:t>COD(</w:t>
      </w:r>
      <w:proofErr w:type="gramEnd"/>
      <w:r w:rsidRPr="00437E5F">
        <w:rPr>
          <w:rFonts w:eastAsia="Calibri"/>
          <w:b/>
          <w:bCs/>
          <w:color w:val="000000"/>
          <w:szCs w:val="24"/>
        </w:rPr>
        <w:t>2023</w:t>
      </w:r>
      <w:r w:rsidRPr="00B36B43">
        <w:rPr>
          <w:rFonts w:eastAsia="Calibri"/>
          <w:b/>
          <w:bCs/>
          <w:color w:val="000000"/>
          <w:szCs w:val="24"/>
        </w:rPr>
        <w:t>)</w:t>
      </w:r>
      <w:r w:rsidRPr="00437E5F">
        <w:rPr>
          <w:rFonts w:eastAsia="Calibri"/>
          <w:b/>
          <w:bCs/>
          <w:color w:val="000000"/>
          <w:szCs w:val="24"/>
        </w:rPr>
        <w:t>0397</w:t>
      </w:r>
    </w:p>
    <w:p w:rsidR="00C7075C" w:rsidRDefault="00C7075C" w:rsidP="00C7075C">
      <w:pPr>
        <w:autoSpaceDE w:val="0"/>
        <w:autoSpaceDN w:val="0"/>
        <w:adjustRightInd w:val="0"/>
        <w:spacing w:after="240"/>
        <w:rPr>
          <w:rFonts w:eastAsia="Calibri"/>
          <w:b/>
          <w:szCs w:val="22"/>
          <w:lang w:eastAsia="en-US"/>
        </w:rPr>
      </w:pPr>
      <w:r>
        <w:rPr>
          <w:rFonts w:eastAsia="Calibri"/>
          <w:b/>
          <w:bCs/>
          <w:color w:val="000000"/>
          <w:szCs w:val="24"/>
        </w:rPr>
        <w:t xml:space="preserve">Position du Parlement européen arrêtée en première lecture le </w:t>
      </w:r>
      <w:r w:rsidRPr="00437E5F">
        <w:rPr>
          <w:rFonts w:eastAsia="Calibri"/>
          <w:b/>
          <w:bCs/>
          <w:color w:val="000000"/>
          <w:szCs w:val="24"/>
        </w:rPr>
        <w:t>24</w:t>
      </w:r>
      <w:r>
        <w:rPr>
          <w:rFonts w:eastAsia="Calibri"/>
          <w:b/>
          <w:bCs/>
          <w:color w:val="000000"/>
          <w:szCs w:val="24"/>
        </w:rPr>
        <w:t xml:space="preserve"> avril </w:t>
      </w:r>
      <w:r w:rsidRPr="00437E5F">
        <w:rPr>
          <w:rFonts w:eastAsia="Calibri"/>
          <w:b/>
          <w:bCs/>
          <w:color w:val="000000"/>
          <w:szCs w:val="24"/>
        </w:rPr>
        <w:t>2024</w:t>
      </w:r>
      <w:r>
        <w:rPr>
          <w:rFonts w:eastAsia="Calibri"/>
          <w:b/>
          <w:bCs/>
          <w:color w:val="000000"/>
          <w:szCs w:val="24"/>
        </w:rPr>
        <w:t xml:space="preserve"> en vue de l’adoption du règlement</w:t>
      </w:r>
      <w:r w:rsidR="00E81B8B" w:rsidRPr="00E04DF0">
        <w:t xml:space="preserve"> </w:t>
      </w:r>
      <w:bookmarkStart w:id="7" w:name="TextBodyEnd"/>
      <w:bookmarkEnd w:id="7"/>
      <w:r w:rsidRPr="00C7075C">
        <w:rPr>
          <w:rFonts w:eastAsia="Calibri"/>
          <w:b/>
          <w:szCs w:val="22"/>
          <w:lang w:eastAsia="en-US"/>
        </w:rPr>
        <w:t xml:space="preserve">(UE) </w:t>
      </w:r>
      <w:r w:rsidRPr="00437E5F">
        <w:rPr>
          <w:rFonts w:eastAsia="Calibri"/>
          <w:b/>
          <w:szCs w:val="22"/>
          <w:lang w:eastAsia="en-US"/>
        </w:rPr>
        <w:t>2024</w:t>
      </w:r>
      <w:r w:rsidRPr="00C7075C">
        <w:rPr>
          <w:rFonts w:eastAsia="Calibri"/>
          <w:b/>
          <w:szCs w:val="22"/>
          <w:lang w:eastAsia="en-US"/>
        </w:rPr>
        <w:t>/...</w:t>
      </w:r>
      <w:r>
        <w:rPr>
          <w:rFonts w:eastAsia="Calibri"/>
          <w:b/>
          <w:szCs w:val="22"/>
          <w:lang w:eastAsia="en-US"/>
        </w:rPr>
        <w:t xml:space="preserve"> du Parlement européen et du Conseil </w:t>
      </w:r>
      <w:r w:rsidRPr="00C7075C">
        <w:rPr>
          <w:rFonts w:eastAsia="Calibri"/>
          <w:b/>
          <w:szCs w:val="22"/>
          <w:lang w:eastAsia="en-US"/>
        </w:rPr>
        <w:t>établissant une facilité pour les réformes et la croissance en faveur des Balkans occidentaux</w:t>
      </w:r>
    </w:p>
    <w:p w:rsidR="00C66416" w:rsidRPr="00EB53D5" w:rsidRDefault="00C66416" w:rsidP="00C66416">
      <w:pPr>
        <w:pStyle w:val="Datedadoption"/>
        <w:spacing w:after="240" w:line="240" w:lineRule="auto"/>
        <w:jc w:val="left"/>
        <w:rPr>
          <w:b w:val="0"/>
          <w:i/>
        </w:rPr>
      </w:pPr>
      <w:r w:rsidRPr="00EB53D5">
        <w:rPr>
          <w:b w:val="0"/>
          <w:i/>
        </w:rPr>
        <w:t>(Étant donné l'accord intervenu entre le Parlement et le Conseil, la position du Parlement correspond à l'acte législatif final, l</w:t>
      </w:r>
      <w:r>
        <w:rPr>
          <w:b w:val="0"/>
          <w:i/>
        </w:rPr>
        <w:t>e</w:t>
      </w:r>
      <w:r w:rsidRPr="00EB53D5">
        <w:rPr>
          <w:b w:val="0"/>
          <w:i/>
        </w:rPr>
        <w:t xml:space="preserve"> </w:t>
      </w:r>
      <w:r>
        <w:rPr>
          <w:b w:val="0"/>
          <w:i/>
        </w:rPr>
        <w:t>règlement</w:t>
      </w:r>
      <w:r w:rsidRPr="00EB53D5">
        <w:rPr>
          <w:b w:val="0"/>
          <w:i/>
        </w:rPr>
        <w:t xml:space="preserve"> </w:t>
      </w:r>
      <w:r>
        <w:rPr>
          <w:b w:val="0"/>
          <w:i/>
        </w:rPr>
        <w:t>(UE) 2024/1449</w:t>
      </w:r>
      <w:r w:rsidRPr="00EB53D5">
        <w:rPr>
          <w:b w:val="0"/>
          <w:i/>
        </w:rPr>
        <w:t>.)</w:t>
      </w:r>
    </w:p>
    <w:p w:rsidR="00C66416" w:rsidRPr="00C7075C" w:rsidRDefault="00C66416" w:rsidP="00C7075C">
      <w:pPr>
        <w:autoSpaceDE w:val="0"/>
        <w:autoSpaceDN w:val="0"/>
        <w:adjustRightInd w:val="0"/>
        <w:spacing w:after="240"/>
        <w:rPr>
          <w:rFonts w:eastAsia="Calibri"/>
          <w:b/>
          <w:szCs w:val="22"/>
          <w:lang w:eastAsia="en-US"/>
        </w:rPr>
      </w:pPr>
    </w:p>
    <w:p w:rsidR="00A76790" w:rsidRDefault="00A76790">
      <w:pPr>
        <w:widowControl/>
        <w:rPr>
          <w:rFonts w:eastAsia="Calibri"/>
          <w:b/>
          <w:bCs/>
          <w:color w:val="000000"/>
          <w:szCs w:val="24"/>
        </w:rPr>
      </w:pPr>
    </w:p>
    <w:p w:rsidR="00C66416" w:rsidRDefault="00C66416">
      <w:pPr>
        <w:widowControl/>
        <w:rPr>
          <w:rFonts w:eastAsia="Calibri"/>
          <w:szCs w:val="22"/>
          <w:lang w:eastAsia="en-US"/>
        </w:rPr>
      </w:pPr>
      <w:r>
        <w:rPr>
          <w:rFonts w:eastAsia="Calibri"/>
          <w:szCs w:val="22"/>
          <w:lang w:eastAsia="en-US"/>
        </w:rPr>
        <w:br w:type="page"/>
      </w:r>
    </w:p>
    <w:p w:rsidR="00A76790" w:rsidRDefault="00A76790" w:rsidP="00A76790">
      <w:pPr>
        <w:widowControl/>
        <w:spacing w:before="120" w:after="240" w:line="360" w:lineRule="auto"/>
        <w:jc w:val="right"/>
        <w:rPr>
          <w:rFonts w:eastAsia="Calibri"/>
          <w:szCs w:val="22"/>
          <w:lang w:eastAsia="en-US"/>
        </w:rPr>
      </w:pPr>
      <w:r>
        <w:rPr>
          <w:rFonts w:eastAsia="Calibri"/>
          <w:szCs w:val="22"/>
          <w:lang w:eastAsia="en-US"/>
        </w:rPr>
        <w:lastRenderedPageBreak/>
        <w:t xml:space="preserve">ANNEXE </w:t>
      </w:r>
      <w:r w:rsidR="00476A3B">
        <w:rPr>
          <w:rFonts w:eastAsia="Calibri"/>
          <w:szCs w:val="22"/>
          <w:lang w:eastAsia="en-US"/>
        </w:rPr>
        <w:t>À LA RÉSOLUTION LÉGISLATIVE</w:t>
      </w:r>
    </w:p>
    <w:p w:rsidR="00A76790" w:rsidRDefault="00A76790" w:rsidP="00A76790">
      <w:pPr>
        <w:widowControl/>
        <w:spacing w:line="360" w:lineRule="auto"/>
        <w:jc w:val="center"/>
        <w:rPr>
          <w:b/>
        </w:rPr>
      </w:pPr>
      <w:r>
        <w:rPr>
          <w:b/>
        </w:rPr>
        <w:t>Déclaration commune du Parlement européen et du Conseil</w:t>
      </w:r>
      <w:r w:rsidR="00BD3232">
        <w:rPr>
          <w:b/>
        </w:rPr>
        <w:t xml:space="preserve"> </w:t>
      </w:r>
      <w:bookmarkStart w:id="8" w:name="_GoBack"/>
      <w:bookmarkEnd w:id="8"/>
      <w:r>
        <w:rPr>
          <w:b/>
        </w:rPr>
        <w:t>sur la nomenclature budgétaire appropriée pour la facilité pour les Balkans occidentaux</w:t>
      </w:r>
    </w:p>
    <w:p w:rsidR="00C7075C" w:rsidRPr="00C7075C" w:rsidRDefault="00A76790" w:rsidP="00E90540">
      <w:pPr>
        <w:autoSpaceDE w:val="0"/>
        <w:autoSpaceDN w:val="0"/>
        <w:adjustRightInd w:val="0"/>
        <w:spacing w:before="240" w:after="360" w:line="360" w:lineRule="auto"/>
        <w:rPr>
          <w:rFonts w:eastAsia="Calibri"/>
          <w:b/>
          <w:bCs/>
          <w:color w:val="000000"/>
          <w:szCs w:val="24"/>
        </w:rPr>
      </w:pPr>
      <w:r>
        <w:t xml:space="preserve">Le Parlement européen et le Conseil prennent acte de la déclaration de la Commission européenne sur l’établissement de rapports. Sans préjudice des prérogatives de l’autorité budgétaire en vertu des traités, le Parlement européen et le Conseil entendent examiner la nomenclature de la facilité, par exemple en ce qui concerne les crédits par bénéficiaire, afin de garantir un contrôle politique et budgétaire approprié. Le Parlement européen et le Conseil invitent la Commission européenne à tenir dûment compte de la présente déclaration, le cas échéant, lors de l’élaboration du projet de budget </w:t>
      </w:r>
      <w:r w:rsidRPr="00437E5F">
        <w:t>2025</w:t>
      </w:r>
      <w:r>
        <w:t>.</w:t>
      </w:r>
    </w:p>
    <w:sectPr w:rsidR="00C7075C" w:rsidRPr="00C7075C" w:rsidSect="00E04DF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55B" w:rsidRPr="00E04DF0" w:rsidRDefault="00D4055B">
      <w:r w:rsidRPr="00E04DF0">
        <w:separator/>
      </w:r>
    </w:p>
  </w:endnote>
  <w:endnote w:type="continuationSeparator" w:id="0">
    <w:p w:rsidR="00D4055B" w:rsidRPr="00E04DF0" w:rsidRDefault="00D4055B">
      <w:r w:rsidRPr="00E04D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5C" w:rsidRDefault="00C707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5C" w:rsidRPr="00A76790" w:rsidRDefault="00C7075C" w:rsidP="00A767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5C" w:rsidRDefault="00C70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55B" w:rsidRPr="00E04DF0" w:rsidRDefault="00D4055B">
      <w:r w:rsidRPr="00E04DF0">
        <w:separator/>
      </w:r>
    </w:p>
  </w:footnote>
  <w:footnote w:type="continuationSeparator" w:id="0">
    <w:p w:rsidR="00D4055B" w:rsidRPr="00E04DF0" w:rsidRDefault="00D4055B">
      <w:r w:rsidRPr="00E04DF0">
        <w:continuationSeparator/>
      </w:r>
    </w:p>
  </w:footnote>
  <w:footnote w:id="1">
    <w:p w:rsidR="00E27DF5" w:rsidRPr="00294A1F" w:rsidRDefault="00E27DF5" w:rsidP="00862291">
      <w:pPr>
        <w:pStyle w:val="FootnoteText"/>
        <w:ind w:left="567" w:hanging="567"/>
        <w:rPr>
          <w:sz w:val="24"/>
          <w:szCs w:val="24"/>
        </w:rPr>
      </w:pPr>
      <w:r w:rsidRPr="00294A1F">
        <w:rPr>
          <w:rStyle w:val="FootnoteReference"/>
          <w:sz w:val="24"/>
          <w:szCs w:val="24"/>
        </w:rPr>
        <w:footnoteRef/>
      </w:r>
      <w:r w:rsidRPr="00294A1F">
        <w:rPr>
          <w:sz w:val="24"/>
          <w:szCs w:val="24"/>
        </w:rPr>
        <w:t xml:space="preserve"> </w:t>
      </w:r>
      <w:r w:rsidRPr="00294A1F">
        <w:rPr>
          <w:sz w:val="24"/>
          <w:szCs w:val="24"/>
        </w:rPr>
        <w:tab/>
      </w:r>
      <w:r w:rsidR="006B45DB">
        <w:rPr>
          <w:sz w:val="24"/>
          <w:szCs w:val="24"/>
        </w:rPr>
        <w:t>N</w:t>
      </w:r>
      <w:r w:rsidR="00182E81" w:rsidRPr="00294A1F">
        <w:rPr>
          <w:sz w:val="24"/>
          <w:szCs w:val="24"/>
        </w:rPr>
        <w:t>on encore paru au Journal officiel</w:t>
      </w:r>
      <w:r w:rsidR="00294A1F">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5C" w:rsidRDefault="00C70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5C" w:rsidRDefault="00C707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5C" w:rsidRDefault="00C70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FR"/>
    <w:docVar w:name="dvnumam" w:val="93"/>
    <w:docVar w:name="dvpe" w:val="758.888"/>
    <w:docVar w:name="dvrapporteur" w:val="Rapporteur: "/>
    <w:docVar w:name="dvstar" w:val="***I"/>
    <w:docVar w:name="dvtitre" w:val="Résolution législative du Parlement européen du ... 2024 sur la proposition de règlement du Parlement européen et du Conseil établissant une facilité pour les réformes et la croissance en faveur des Balkans occidentaux(COM(2023)0692 – C9-0408/2023 – 2023/0397(COD))"/>
  </w:docVars>
  <w:rsids>
    <w:rsidRoot w:val="00D4055B"/>
    <w:rsid w:val="00002272"/>
    <w:rsid w:val="00064002"/>
    <w:rsid w:val="000677B9"/>
    <w:rsid w:val="000831BA"/>
    <w:rsid w:val="000A42CC"/>
    <w:rsid w:val="000E7DD9"/>
    <w:rsid w:val="0010095E"/>
    <w:rsid w:val="00125B37"/>
    <w:rsid w:val="00182E81"/>
    <w:rsid w:val="0018337A"/>
    <w:rsid w:val="00187494"/>
    <w:rsid w:val="001F32AE"/>
    <w:rsid w:val="002767FF"/>
    <w:rsid w:val="00294A1F"/>
    <w:rsid w:val="002B18FE"/>
    <w:rsid w:val="002B5493"/>
    <w:rsid w:val="0030021C"/>
    <w:rsid w:val="00316C1A"/>
    <w:rsid w:val="00343214"/>
    <w:rsid w:val="00361C00"/>
    <w:rsid w:val="003905E2"/>
    <w:rsid w:val="00395FA1"/>
    <w:rsid w:val="003E15D4"/>
    <w:rsid w:val="00411CCE"/>
    <w:rsid w:val="0041666E"/>
    <w:rsid w:val="00421060"/>
    <w:rsid w:val="00437E5F"/>
    <w:rsid w:val="00471C19"/>
    <w:rsid w:val="00476A3B"/>
    <w:rsid w:val="004867E3"/>
    <w:rsid w:val="00494A28"/>
    <w:rsid w:val="004C0004"/>
    <w:rsid w:val="004C5D52"/>
    <w:rsid w:val="004C6463"/>
    <w:rsid w:val="0050519A"/>
    <w:rsid w:val="005072A1"/>
    <w:rsid w:val="00514517"/>
    <w:rsid w:val="00545827"/>
    <w:rsid w:val="00560270"/>
    <w:rsid w:val="005A7DB0"/>
    <w:rsid w:val="005C2568"/>
    <w:rsid w:val="005D6B9A"/>
    <w:rsid w:val="006037C0"/>
    <w:rsid w:val="006549A5"/>
    <w:rsid w:val="006631B6"/>
    <w:rsid w:val="0067648A"/>
    <w:rsid w:val="00680577"/>
    <w:rsid w:val="006B45DB"/>
    <w:rsid w:val="006F74FA"/>
    <w:rsid w:val="00731ADD"/>
    <w:rsid w:val="00734777"/>
    <w:rsid w:val="00747932"/>
    <w:rsid w:val="00751A4A"/>
    <w:rsid w:val="00756632"/>
    <w:rsid w:val="00762C74"/>
    <w:rsid w:val="00786EC0"/>
    <w:rsid w:val="007D1690"/>
    <w:rsid w:val="007E22AD"/>
    <w:rsid w:val="00817416"/>
    <w:rsid w:val="00842779"/>
    <w:rsid w:val="00862291"/>
    <w:rsid w:val="00865F67"/>
    <w:rsid w:val="00881A7B"/>
    <w:rsid w:val="008840E5"/>
    <w:rsid w:val="00887B3E"/>
    <w:rsid w:val="008B7ECA"/>
    <w:rsid w:val="008C2AC6"/>
    <w:rsid w:val="00930C23"/>
    <w:rsid w:val="0093193B"/>
    <w:rsid w:val="009509D8"/>
    <w:rsid w:val="00950B64"/>
    <w:rsid w:val="00954258"/>
    <w:rsid w:val="00981893"/>
    <w:rsid w:val="00A1687D"/>
    <w:rsid w:val="00A17B26"/>
    <w:rsid w:val="00A43E52"/>
    <w:rsid w:val="00A4678D"/>
    <w:rsid w:val="00A76790"/>
    <w:rsid w:val="00A778C7"/>
    <w:rsid w:val="00AB441E"/>
    <w:rsid w:val="00AB6293"/>
    <w:rsid w:val="00AE0928"/>
    <w:rsid w:val="00AF3B82"/>
    <w:rsid w:val="00B12E95"/>
    <w:rsid w:val="00B22876"/>
    <w:rsid w:val="00B558F0"/>
    <w:rsid w:val="00BD3232"/>
    <w:rsid w:val="00BD48FE"/>
    <w:rsid w:val="00BD7BD8"/>
    <w:rsid w:val="00BE6ADC"/>
    <w:rsid w:val="00C05BFE"/>
    <w:rsid w:val="00C23CD4"/>
    <w:rsid w:val="00C61C0C"/>
    <w:rsid w:val="00C66416"/>
    <w:rsid w:val="00C7075C"/>
    <w:rsid w:val="00C941CB"/>
    <w:rsid w:val="00CC2357"/>
    <w:rsid w:val="00CF071A"/>
    <w:rsid w:val="00D002CB"/>
    <w:rsid w:val="00D058B8"/>
    <w:rsid w:val="00D4055B"/>
    <w:rsid w:val="00D56C11"/>
    <w:rsid w:val="00D834A0"/>
    <w:rsid w:val="00D872DF"/>
    <w:rsid w:val="00D91E21"/>
    <w:rsid w:val="00DA7FCD"/>
    <w:rsid w:val="00E023A6"/>
    <w:rsid w:val="00E04DF0"/>
    <w:rsid w:val="00E27DF5"/>
    <w:rsid w:val="00E365E1"/>
    <w:rsid w:val="00E81B8B"/>
    <w:rsid w:val="00E820A4"/>
    <w:rsid w:val="00E90540"/>
    <w:rsid w:val="00EA1104"/>
    <w:rsid w:val="00EB006A"/>
    <w:rsid w:val="00EB4772"/>
    <w:rsid w:val="00ED169E"/>
    <w:rsid w:val="00ED4235"/>
    <w:rsid w:val="00F04346"/>
    <w:rsid w:val="00F075DC"/>
    <w:rsid w:val="00F149E9"/>
    <w:rsid w:val="00F5134D"/>
    <w:rsid w:val="00F6496B"/>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28B85"/>
  <w15:chartTrackingRefBased/>
  <w15:docId w15:val="{095F5A95-73A1-4C14-8604-C7627BD4C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81B8B"/>
    <w:rPr>
      <w:b/>
      <w:kern w:val="28"/>
      <w:sz w:val="28"/>
      <w:lang w:val="fr-FR" w:eastAsia="fr-FR"/>
    </w:rPr>
  </w:style>
  <w:style w:type="character" w:customStyle="1" w:styleId="Heading2Char">
    <w:name w:val="Heading 2 Char"/>
    <w:basedOn w:val="DefaultParagraphFont"/>
    <w:link w:val="Heading2"/>
    <w:uiPriority w:val="9"/>
    <w:semiHidden/>
    <w:rsid w:val="00E81B8B"/>
    <w:rPr>
      <w:sz w:val="24"/>
      <w:lang w:val="fr-FR" w:eastAsia="fr-FR"/>
    </w:rPr>
  </w:style>
  <w:style w:type="character" w:customStyle="1" w:styleId="Heading3Char">
    <w:name w:val="Heading 3 Char"/>
    <w:basedOn w:val="DefaultParagraphFont"/>
    <w:link w:val="Heading3"/>
    <w:uiPriority w:val="9"/>
    <w:semiHidden/>
    <w:rsid w:val="00E81B8B"/>
    <w:rPr>
      <w:rFonts w:ascii="Arial" w:hAnsi="Arial"/>
      <w:sz w:val="24"/>
      <w:lang w:val="fr-FR" w:eastAsia="fr-FR"/>
    </w:rPr>
  </w:style>
  <w:style w:type="character" w:customStyle="1" w:styleId="Heading4Char">
    <w:name w:val="Heading 4 Char"/>
    <w:basedOn w:val="DefaultParagraphFont"/>
    <w:link w:val="Heading4"/>
    <w:uiPriority w:val="9"/>
    <w:semiHidden/>
    <w:rsid w:val="00E81B8B"/>
    <w:rPr>
      <w:sz w:val="24"/>
      <w:lang w:val="en-US" w:eastAsia="fr-FR"/>
    </w:rPr>
  </w:style>
  <w:style w:type="character" w:customStyle="1" w:styleId="Heading5Char">
    <w:name w:val="Heading 5 Char"/>
    <w:basedOn w:val="DefaultParagraphFont"/>
    <w:link w:val="Heading5"/>
    <w:uiPriority w:val="9"/>
    <w:semiHidden/>
    <w:rsid w:val="00E81B8B"/>
    <w:rPr>
      <w:sz w:val="24"/>
      <w:lang w:val="en-US" w:eastAsia="fr-FR"/>
    </w:rPr>
  </w:style>
  <w:style w:type="character" w:customStyle="1" w:styleId="Heading6Char">
    <w:name w:val="Heading 6 Char"/>
    <w:basedOn w:val="DefaultParagraphFont"/>
    <w:link w:val="Heading6"/>
    <w:uiPriority w:val="9"/>
    <w:semiHidden/>
    <w:rsid w:val="00E81B8B"/>
    <w:rPr>
      <w:i/>
      <w:sz w:val="22"/>
      <w:lang w:val="fr-FR"/>
    </w:rPr>
  </w:style>
  <w:style w:type="character" w:customStyle="1" w:styleId="Heading7Char">
    <w:name w:val="Heading 7 Char"/>
    <w:basedOn w:val="DefaultParagraphFont"/>
    <w:link w:val="Heading7"/>
    <w:uiPriority w:val="9"/>
    <w:semiHidden/>
    <w:rsid w:val="00E81B8B"/>
    <w:rPr>
      <w:rFonts w:ascii="Arial" w:hAnsi="Arial"/>
      <w:sz w:val="24"/>
      <w:lang w:val="fr-FR"/>
    </w:rPr>
  </w:style>
  <w:style w:type="character" w:customStyle="1" w:styleId="Heading8Char">
    <w:name w:val="Heading 8 Char"/>
    <w:basedOn w:val="DefaultParagraphFont"/>
    <w:link w:val="Heading8"/>
    <w:semiHidden/>
    <w:rsid w:val="00E81B8B"/>
    <w:rPr>
      <w:rFonts w:ascii="Arial" w:hAnsi="Arial"/>
      <w:i/>
      <w:sz w:val="24"/>
      <w:lang w:val="fr-FR"/>
    </w:rPr>
  </w:style>
  <w:style w:type="character" w:customStyle="1" w:styleId="Heading9Char">
    <w:name w:val="Heading 9 Char"/>
    <w:basedOn w:val="DefaultParagraphFont"/>
    <w:link w:val="Heading9"/>
    <w:semiHidden/>
    <w:rsid w:val="00E81B8B"/>
    <w:rPr>
      <w:rFonts w:ascii="Arial" w:hAnsi="Arial"/>
      <w:b/>
      <w:i/>
      <w:sz w:val="18"/>
      <w:lang w:val="fr-FR"/>
    </w:rPr>
  </w:style>
  <w:style w:type="paragraph" w:styleId="TOCHeading">
    <w:name w:val="TOC Heading"/>
    <w:basedOn w:val="Normal"/>
    <w:next w:val="Normal"/>
    <w:uiPriority w:val="39"/>
    <w:unhideWhenUsed/>
    <w:qFormat/>
    <w:rsid w:val="00E81B8B"/>
    <w:pPr>
      <w:widowControl/>
      <w:spacing w:after="240"/>
    </w:pPr>
    <w:rPr>
      <w:lang w:val="en-GB"/>
    </w:rPr>
  </w:style>
  <w:style w:type="paragraph" w:customStyle="1" w:styleId="EPFooter2">
    <w:name w:val="EPFooter2"/>
    <w:basedOn w:val="Normal"/>
    <w:next w:val="Normal"/>
    <w:rsid w:val="00E81B8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81B8B"/>
    <w:pPr>
      <w:keepNext/>
      <w:spacing w:after="240"/>
      <w:jc w:val="right"/>
    </w:pPr>
    <w:rPr>
      <w:rFonts w:ascii="Arial" w:hAnsi="Arial"/>
      <w:b/>
    </w:rPr>
  </w:style>
  <w:style w:type="paragraph" w:customStyle="1" w:styleId="Normal6a">
    <w:name w:val="Normal6a"/>
    <w:basedOn w:val="Normal"/>
    <w:rsid w:val="00E81B8B"/>
    <w:pPr>
      <w:spacing w:after="120"/>
    </w:pPr>
  </w:style>
  <w:style w:type="paragraph" w:customStyle="1" w:styleId="PageHeading">
    <w:name w:val="PageHeading"/>
    <w:basedOn w:val="Normal"/>
    <w:link w:val="PageHeadingChar"/>
    <w:rsid w:val="00E81B8B"/>
    <w:pPr>
      <w:keepNext/>
      <w:spacing w:after="480"/>
      <w:jc w:val="center"/>
    </w:pPr>
    <w:rPr>
      <w:rFonts w:ascii="Arial" w:hAnsi="Arial" w:cs="Arial"/>
      <w:b/>
    </w:rPr>
  </w:style>
  <w:style w:type="paragraph" w:customStyle="1" w:styleId="NormalBold">
    <w:name w:val="NormalBold"/>
    <w:basedOn w:val="Normal"/>
    <w:link w:val="NormalBoldChar"/>
    <w:rsid w:val="00E81B8B"/>
    <w:rPr>
      <w:b/>
    </w:rPr>
  </w:style>
  <w:style w:type="paragraph" w:customStyle="1" w:styleId="NormalBold12a">
    <w:name w:val="NormalBold12a"/>
    <w:basedOn w:val="Normal"/>
    <w:rsid w:val="00E81B8B"/>
    <w:pPr>
      <w:spacing w:after="240"/>
    </w:pPr>
    <w:rPr>
      <w:b/>
    </w:rPr>
  </w:style>
  <w:style w:type="paragraph" w:customStyle="1" w:styleId="AmJustText">
    <w:name w:val="AmJustText"/>
    <w:basedOn w:val="Normal"/>
    <w:rsid w:val="00E81B8B"/>
    <w:pPr>
      <w:spacing w:after="240"/>
    </w:pPr>
    <w:rPr>
      <w:i/>
    </w:rPr>
  </w:style>
  <w:style w:type="paragraph" w:customStyle="1" w:styleId="NormalHanging12a">
    <w:name w:val="NormalHanging12a"/>
    <w:basedOn w:val="Normal"/>
    <w:rsid w:val="00E81B8B"/>
    <w:pPr>
      <w:spacing w:after="240"/>
      <w:ind w:left="567" w:hanging="567"/>
    </w:pPr>
  </w:style>
  <w:style w:type="paragraph" w:customStyle="1" w:styleId="CoverNormal24a">
    <w:name w:val="CoverNormal24a"/>
    <w:basedOn w:val="Normal"/>
    <w:rsid w:val="00E81B8B"/>
    <w:pPr>
      <w:spacing w:after="480"/>
      <w:ind w:left="1417"/>
    </w:pPr>
  </w:style>
  <w:style w:type="paragraph" w:customStyle="1" w:styleId="CoverNormal">
    <w:name w:val="CoverNormal"/>
    <w:basedOn w:val="Normal"/>
    <w:rsid w:val="00E81B8B"/>
    <w:pPr>
      <w:ind w:left="1418"/>
    </w:pPr>
  </w:style>
  <w:style w:type="paragraph" w:customStyle="1" w:styleId="AmCrossRef">
    <w:name w:val="AmCrossRef"/>
    <w:basedOn w:val="Normal"/>
    <w:rsid w:val="00E81B8B"/>
    <w:pPr>
      <w:spacing w:before="240" w:after="240"/>
      <w:jc w:val="center"/>
    </w:pPr>
    <w:rPr>
      <w:i/>
    </w:rPr>
  </w:style>
  <w:style w:type="paragraph" w:customStyle="1" w:styleId="AmJustTitle">
    <w:name w:val="AmJustTitle"/>
    <w:basedOn w:val="Normal"/>
    <w:next w:val="AmJustText"/>
    <w:rsid w:val="00E81B8B"/>
    <w:pPr>
      <w:keepNext/>
      <w:spacing w:before="240" w:after="240"/>
      <w:jc w:val="center"/>
    </w:pPr>
    <w:rPr>
      <w:i/>
    </w:rPr>
  </w:style>
  <w:style w:type="paragraph" w:customStyle="1" w:styleId="CoverReference">
    <w:name w:val="CoverReference"/>
    <w:basedOn w:val="Normal"/>
    <w:rsid w:val="00E81B8B"/>
    <w:pPr>
      <w:spacing w:before="1080"/>
      <w:jc w:val="right"/>
    </w:pPr>
    <w:rPr>
      <w:rFonts w:ascii="Arial" w:hAnsi="Arial" w:cs="Arial"/>
      <w:b/>
    </w:rPr>
  </w:style>
  <w:style w:type="paragraph" w:customStyle="1" w:styleId="CoverDocType">
    <w:name w:val="CoverDocType"/>
    <w:basedOn w:val="Normal"/>
    <w:rsid w:val="00E81B8B"/>
    <w:pPr>
      <w:ind w:left="1418"/>
    </w:pPr>
    <w:rPr>
      <w:rFonts w:ascii="Arial" w:hAnsi="Arial"/>
      <w:b/>
      <w:sz w:val="48"/>
    </w:rPr>
  </w:style>
  <w:style w:type="paragraph" w:customStyle="1" w:styleId="CoverDocType24a">
    <w:name w:val="CoverDocType24a"/>
    <w:basedOn w:val="Normal"/>
    <w:rsid w:val="00E81B8B"/>
    <w:pPr>
      <w:spacing w:after="480"/>
      <w:ind w:left="1418"/>
    </w:pPr>
    <w:rPr>
      <w:rFonts w:ascii="Arial" w:hAnsi="Arial"/>
      <w:b/>
      <w:sz w:val="48"/>
    </w:rPr>
  </w:style>
  <w:style w:type="paragraph" w:customStyle="1" w:styleId="CoverDate">
    <w:name w:val="CoverDate"/>
    <w:basedOn w:val="Normal"/>
    <w:rsid w:val="00E81B8B"/>
    <w:pPr>
      <w:spacing w:before="240" w:after="1200"/>
    </w:pPr>
  </w:style>
  <w:style w:type="paragraph" w:styleId="Header">
    <w:name w:val="header"/>
    <w:basedOn w:val="Normal"/>
    <w:link w:val="HeaderChar"/>
    <w:uiPriority w:val="99"/>
    <w:rsid w:val="00E81B8B"/>
    <w:pPr>
      <w:tabs>
        <w:tab w:val="center" w:pos="4513"/>
        <w:tab w:val="right" w:pos="9026"/>
      </w:tabs>
    </w:pPr>
  </w:style>
  <w:style w:type="character" w:customStyle="1" w:styleId="HeaderChar">
    <w:name w:val="Header Char"/>
    <w:basedOn w:val="DefaultParagraphFont"/>
    <w:link w:val="Header"/>
    <w:uiPriority w:val="99"/>
    <w:rsid w:val="00E81B8B"/>
    <w:rPr>
      <w:sz w:val="24"/>
      <w:lang w:val="fr-FR"/>
    </w:rPr>
  </w:style>
  <w:style w:type="paragraph" w:customStyle="1" w:styleId="AmOrLang">
    <w:name w:val="AmOrLang"/>
    <w:basedOn w:val="Normal"/>
    <w:rsid w:val="00E81B8B"/>
    <w:pPr>
      <w:spacing w:before="240" w:after="240"/>
      <w:jc w:val="right"/>
    </w:pPr>
  </w:style>
  <w:style w:type="paragraph" w:customStyle="1" w:styleId="AmColumnHeading">
    <w:name w:val="AmColumnHeading"/>
    <w:basedOn w:val="Normal"/>
    <w:rsid w:val="00E81B8B"/>
    <w:pPr>
      <w:spacing w:after="240"/>
      <w:jc w:val="center"/>
    </w:pPr>
    <w:rPr>
      <w:i/>
    </w:rPr>
  </w:style>
  <w:style w:type="paragraph" w:customStyle="1" w:styleId="AmNumberTabs">
    <w:name w:val="AmNumberTabs"/>
    <w:basedOn w:val="Normal"/>
    <w:link w:val="AmNumberTabsChar"/>
    <w:rsid w:val="00E81B8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E81B8B"/>
    <w:pPr>
      <w:spacing w:before="240"/>
    </w:pPr>
    <w:rPr>
      <w:b/>
    </w:rPr>
  </w:style>
  <w:style w:type="paragraph" w:customStyle="1" w:styleId="EPBody">
    <w:name w:val="EPBody"/>
    <w:basedOn w:val="Normal"/>
    <w:rsid w:val="00E81B8B"/>
    <w:pPr>
      <w:jc w:val="center"/>
    </w:pPr>
    <w:rPr>
      <w:rFonts w:ascii="Arial" w:hAnsi="Arial" w:cs="Arial"/>
      <w:i/>
      <w:sz w:val="22"/>
      <w:szCs w:val="22"/>
    </w:rPr>
  </w:style>
  <w:style w:type="paragraph" w:customStyle="1" w:styleId="EPFooter">
    <w:name w:val="EPFooter"/>
    <w:basedOn w:val="Normal"/>
    <w:rsid w:val="00E81B8B"/>
    <w:pPr>
      <w:tabs>
        <w:tab w:val="center" w:pos="4535"/>
        <w:tab w:val="right" w:pos="9071"/>
      </w:tabs>
      <w:spacing w:before="240" w:after="240"/>
    </w:pPr>
    <w:rPr>
      <w:color w:val="010000"/>
      <w:sz w:val="22"/>
    </w:rPr>
  </w:style>
  <w:style w:type="paragraph" w:customStyle="1" w:styleId="EPComma">
    <w:name w:val="EPComma"/>
    <w:basedOn w:val="Normal"/>
    <w:rsid w:val="00E81B8B"/>
    <w:pPr>
      <w:spacing w:before="480" w:after="240"/>
    </w:pPr>
  </w:style>
  <w:style w:type="paragraph" w:customStyle="1" w:styleId="Lgendesigne">
    <w:name w:val="Légende signe"/>
    <w:basedOn w:val="Normal"/>
    <w:rsid w:val="00E81B8B"/>
    <w:pPr>
      <w:tabs>
        <w:tab w:val="right" w:pos="454"/>
        <w:tab w:val="left" w:pos="737"/>
      </w:tabs>
      <w:ind w:left="737" w:hanging="737"/>
    </w:pPr>
    <w:rPr>
      <w:snapToGrid w:val="0"/>
      <w:sz w:val="18"/>
      <w:lang w:eastAsia="en-US"/>
    </w:rPr>
  </w:style>
  <w:style w:type="paragraph" w:customStyle="1" w:styleId="Lgendetitre">
    <w:name w:val="Légende titre"/>
    <w:basedOn w:val="Normal"/>
    <w:rsid w:val="00E81B8B"/>
    <w:pPr>
      <w:spacing w:before="240" w:after="240"/>
    </w:pPr>
    <w:rPr>
      <w:b/>
      <w:i/>
      <w:snapToGrid w:val="0"/>
      <w:lang w:eastAsia="en-US"/>
    </w:rPr>
  </w:style>
  <w:style w:type="paragraph" w:customStyle="1" w:styleId="Lgendestandard">
    <w:name w:val="Légende standard"/>
    <w:basedOn w:val="Normal"/>
    <w:rsid w:val="00E81B8B"/>
    <w:rPr>
      <w:sz w:val="18"/>
    </w:rPr>
  </w:style>
  <w:style w:type="character" w:customStyle="1" w:styleId="NormalBoldChar">
    <w:name w:val="NormalBold Char"/>
    <w:basedOn w:val="DefaultParagraphFont"/>
    <w:link w:val="NormalBold"/>
    <w:rsid w:val="00E81B8B"/>
    <w:rPr>
      <w:b/>
      <w:sz w:val="24"/>
      <w:lang w:val="fr-FR"/>
    </w:rPr>
  </w:style>
  <w:style w:type="paragraph" w:customStyle="1" w:styleId="EntPE">
    <w:name w:val="EntPE"/>
    <w:basedOn w:val="Normal12"/>
    <w:rsid w:val="00E81B8B"/>
    <w:pPr>
      <w:jc w:val="center"/>
    </w:pPr>
    <w:rPr>
      <w:noProof w:val="0"/>
      <w:sz w:val="56"/>
    </w:rPr>
  </w:style>
  <w:style w:type="paragraph" w:customStyle="1" w:styleId="Normal12">
    <w:name w:val="Normal12"/>
    <w:basedOn w:val="Normal"/>
    <w:link w:val="Normal12Char"/>
    <w:rsid w:val="00E81B8B"/>
    <w:pPr>
      <w:spacing w:after="240"/>
    </w:pPr>
    <w:rPr>
      <w:noProof/>
    </w:rPr>
  </w:style>
  <w:style w:type="paragraph" w:customStyle="1" w:styleId="CommitteeAM">
    <w:name w:val="CommitteeAM"/>
    <w:basedOn w:val="Normal"/>
    <w:rsid w:val="00E81B8B"/>
    <w:pPr>
      <w:spacing w:before="240" w:after="600"/>
      <w:jc w:val="center"/>
    </w:pPr>
    <w:rPr>
      <w:i/>
    </w:rPr>
  </w:style>
  <w:style w:type="paragraph" w:customStyle="1" w:styleId="ZDateAM">
    <w:name w:val="ZDateAM"/>
    <w:basedOn w:val="Normal"/>
    <w:rsid w:val="00E81B8B"/>
    <w:pPr>
      <w:tabs>
        <w:tab w:val="right" w:pos="9356"/>
      </w:tabs>
      <w:spacing w:after="480"/>
    </w:pPr>
    <w:rPr>
      <w:noProof/>
    </w:rPr>
  </w:style>
  <w:style w:type="paragraph" w:customStyle="1" w:styleId="ProjRap">
    <w:name w:val="ProjRap"/>
    <w:basedOn w:val="Normal"/>
    <w:rsid w:val="00E81B8B"/>
    <w:pPr>
      <w:tabs>
        <w:tab w:val="right" w:pos="9356"/>
      </w:tabs>
    </w:pPr>
    <w:rPr>
      <w:b/>
      <w:noProof/>
    </w:rPr>
  </w:style>
  <w:style w:type="character" w:customStyle="1" w:styleId="Normal12Char">
    <w:name w:val="Normal12 Char"/>
    <w:basedOn w:val="DefaultParagraphFont"/>
    <w:link w:val="Normal12"/>
    <w:locked/>
    <w:rsid w:val="00E81B8B"/>
    <w:rPr>
      <w:noProof/>
      <w:sz w:val="24"/>
      <w:lang w:val="fr-FR"/>
    </w:rPr>
  </w:style>
  <w:style w:type="paragraph" w:customStyle="1" w:styleId="PELeft">
    <w:name w:val="PELeft"/>
    <w:basedOn w:val="Normal"/>
    <w:rsid w:val="00E81B8B"/>
    <w:pPr>
      <w:spacing w:before="40" w:after="40"/>
    </w:pPr>
    <w:rPr>
      <w:rFonts w:ascii="Arial" w:hAnsi="Arial" w:cs="Arial"/>
      <w:sz w:val="22"/>
      <w:szCs w:val="22"/>
    </w:rPr>
  </w:style>
  <w:style w:type="paragraph" w:customStyle="1" w:styleId="PERight">
    <w:name w:val="PERight"/>
    <w:basedOn w:val="Normal"/>
    <w:next w:val="Normal"/>
    <w:rsid w:val="00E81B8B"/>
    <w:pPr>
      <w:jc w:val="right"/>
    </w:pPr>
    <w:rPr>
      <w:rFonts w:ascii="Arial" w:hAnsi="Arial" w:cs="Arial"/>
      <w:sz w:val="22"/>
      <w:szCs w:val="22"/>
    </w:rPr>
  </w:style>
  <w:style w:type="paragraph" w:customStyle="1" w:styleId="Normal6">
    <w:name w:val="Normal6"/>
    <w:basedOn w:val="Normal"/>
    <w:link w:val="Normal6Char"/>
    <w:rsid w:val="00E81B8B"/>
    <w:pPr>
      <w:spacing w:after="120"/>
    </w:pPr>
  </w:style>
  <w:style w:type="paragraph" w:customStyle="1" w:styleId="Normal12Italic">
    <w:name w:val="Normal12Italic"/>
    <w:basedOn w:val="Normal12"/>
    <w:rsid w:val="00E81B8B"/>
    <w:rPr>
      <w:i/>
    </w:rPr>
  </w:style>
  <w:style w:type="paragraph" w:customStyle="1" w:styleId="JustificationTitle">
    <w:name w:val="JustificationTitle"/>
    <w:basedOn w:val="Normal"/>
    <w:next w:val="Normal12"/>
    <w:rsid w:val="00E81B8B"/>
    <w:pPr>
      <w:keepNext/>
      <w:spacing w:before="240" w:after="240"/>
      <w:jc w:val="center"/>
    </w:pPr>
    <w:rPr>
      <w:i/>
      <w:noProof/>
    </w:rPr>
  </w:style>
  <w:style w:type="paragraph" w:customStyle="1" w:styleId="Olang">
    <w:name w:val="Olang"/>
    <w:basedOn w:val="Normal"/>
    <w:rsid w:val="00E81B8B"/>
    <w:pPr>
      <w:spacing w:before="240" w:after="240"/>
      <w:jc w:val="right"/>
    </w:pPr>
    <w:rPr>
      <w:noProof/>
      <w:szCs w:val="24"/>
    </w:rPr>
  </w:style>
  <w:style w:type="character" w:customStyle="1" w:styleId="Normal6Char">
    <w:name w:val="Normal6 Char"/>
    <w:basedOn w:val="DefaultParagraphFont"/>
    <w:link w:val="Normal6"/>
    <w:rsid w:val="00E81B8B"/>
    <w:rPr>
      <w:sz w:val="24"/>
      <w:lang w:val="fr-FR"/>
    </w:rPr>
  </w:style>
  <w:style w:type="paragraph" w:customStyle="1" w:styleId="ColumnHeading">
    <w:name w:val="ColumnHeading"/>
    <w:basedOn w:val="Normal"/>
    <w:rsid w:val="00E81B8B"/>
    <w:pPr>
      <w:spacing w:after="240"/>
      <w:jc w:val="center"/>
    </w:pPr>
    <w:rPr>
      <w:i/>
    </w:rPr>
  </w:style>
  <w:style w:type="paragraph" w:customStyle="1" w:styleId="AMNumberTabs0">
    <w:name w:val="AMNumberTabs"/>
    <w:basedOn w:val="Normal"/>
    <w:rsid w:val="00E81B8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E81B8B"/>
    <w:pPr>
      <w:spacing w:before="240"/>
      <w:jc w:val="center"/>
    </w:pPr>
    <w:rPr>
      <w:i/>
    </w:rPr>
  </w:style>
  <w:style w:type="paragraph" w:styleId="Footer">
    <w:name w:val="footer"/>
    <w:basedOn w:val="Normal"/>
    <w:link w:val="FooterChar"/>
    <w:uiPriority w:val="99"/>
    <w:rsid w:val="00E81B8B"/>
    <w:pPr>
      <w:tabs>
        <w:tab w:val="center" w:pos="4680"/>
        <w:tab w:val="right" w:pos="9360"/>
      </w:tabs>
    </w:pPr>
  </w:style>
  <w:style w:type="character" w:customStyle="1" w:styleId="FooterChar">
    <w:name w:val="Footer Char"/>
    <w:basedOn w:val="DefaultParagraphFont"/>
    <w:link w:val="Footer"/>
    <w:uiPriority w:val="99"/>
    <w:rsid w:val="00E81B8B"/>
    <w:rPr>
      <w:sz w:val="24"/>
      <w:lang w:val="fr-FR"/>
    </w:rPr>
  </w:style>
  <w:style w:type="character" w:customStyle="1" w:styleId="Footer2Middle">
    <w:name w:val="Footer2Middle"/>
    <w:rsid w:val="00E81B8B"/>
    <w:rPr>
      <w:rFonts w:ascii="Arial" w:cs="Arial"/>
      <w:b w:val="0"/>
      <w:i/>
      <w:color w:val="C0C0C0"/>
      <w:sz w:val="22"/>
    </w:rPr>
  </w:style>
  <w:style w:type="character" w:styleId="CommentReference">
    <w:name w:val="annotation reference"/>
    <w:basedOn w:val="DefaultParagraphFont"/>
    <w:uiPriority w:val="99"/>
    <w:rsid w:val="00E81B8B"/>
    <w:rPr>
      <w:sz w:val="16"/>
      <w:szCs w:val="16"/>
    </w:rPr>
  </w:style>
  <w:style w:type="paragraph" w:styleId="CommentText">
    <w:name w:val="annotation text"/>
    <w:basedOn w:val="Normal"/>
    <w:link w:val="CommentTextChar"/>
    <w:uiPriority w:val="99"/>
    <w:rsid w:val="00E81B8B"/>
    <w:rPr>
      <w:sz w:val="20"/>
    </w:rPr>
  </w:style>
  <w:style w:type="character" w:customStyle="1" w:styleId="CommentTextChar">
    <w:name w:val="Comment Text Char"/>
    <w:basedOn w:val="DefaultParagraphFont"/>
    <w:link w:val="CommentText"/>
    <w:uiPriority w:val="99"/>
    <w:rsid w:val="00E81B8B"/>
    <w:rPr>
      <w:lang w:val="fr-FR"/>
    </w:rPr>
  </w:style>
  <w:style w:type="paragraph" w:styleId="CommentSubject">
    <w:name w:val="annotation subject"/>
    <w:basedOn w:val="CommentText"/>
    <w:next w:val="CommentText"/>
    <w:link w:val="CommentSubjectChar"/>
    <w:uiPriority w:val="99"/>
    <w:unhideWhenUsed/>
    <w:rsid w:val="00E81B8B"/>
    <w:rPr>
      <w:b/>
      <w:bCs/>
    </w:rPr>
  </w:style>
  <w:style w:type="character" w:customStyle="1" w:styleId="CommentSubjectChar">
    <w:name w:val="Comment Subject Char"/>
    <w:basedOn w:val="CommentTextChar"/>
    <w:link w:val="CommentSubject"/>
    <w:uiPriority w:val="99"/>
    <w:rsid w:val="00E81B8B"/>
    <w:rPr>
      <w:b/>
      <w:bCs/>
      <w:lang w:val="fr-FR"/>
    </w:rPr>
  </w:style>
  <w:style w:type="paragraph" w:styleId="BalloonText">
    <w:name w:val="Balloon Text"/>
    <w:basedOn w:val="Normal"/>
    <w:link w:val="BalloonTextChar"/>
    <w:uiPriority w:val="99"/>
    <w:unhideWhenUsed/>
    <w:rsid w:val="00E81B8B"/>
    <w:rPr>
      <w:rFonts w:ascii="Segoe UI" w:hAnsi="Segoe UI" w:cs="Segoe UI"/>
      <w:sz w:val="18"/>
      <w:szCs w:val="18"/>
    </w:rPr>
  </w:style>
  <w:style w:type="character" w:customStyle="1" w:styleId="BalloonTextChar">
    <w:name w:val="Balloon Text Char"/>
    <w:basedOn w:val="DefaultParagraphFont"/>
    <w:link w:val="BalloonText"/>
    <w:uiPriority w:val="99"/>
    <w:rsid w:val="00E81B8B"/>
    <w:rPr>
      <w:rFonts w:ascii="Segoe UI" w:hAnsi="Segoe UI" w:cs="Segoe UI"/>
      <w:sz w:val="18"/>
      <w:szCs w:val="18"/>
      <w:lang w:val="fr-FR"/>
    </w:rPr>
  </w:style>
  <w:style w:type="paragraph" w:customStyle="1" w:styleId="Normal12a">
    <w:name w:val="Normal12a"/>
    <w:basedOn w:val="Normal"/>
    <w:rsid w:val="00E81B8B"/>
    <w:pPr>
      <w:spacing w:after="240"/>
    </w:pPr>
  </w:style>
  <w:style w:type="paragraph" w:customStyle="1" w:styleId="RollCallSymbols14pt">
    <w:name w:val="RollCallSymbols14pt"/>
    <w:basedOn w:val="Normal"/>
    <w:rsid w:val="00E81B8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81B8B"/>
    <w:pPr>
      <w:tabs>
        <w:tab w:val="center" w:pos="284"/>
        <w:tab w:val="left" w:pos="426"/>
      </w:tabs>
    </w:pPr>
    <w:rPr>
      <w:snapToGrid w:val="0"/>
      <w:lang w:eastAsia="en-US"/>
    </w:rPr>
  </w:style>
  <w:style w:type="paragraph" w:customStyle="1" w:styleId="RollCallVotes">
    <w:name w:val="RollCallVotes"/>
    <w:basedOn w:val="Normal"/>
    <w:rsid w:val="00E81B8B"/>
    <w:pPr>
      <w:spacing w:before="120" w:after="120"/>
      <w:jc w:val="center"/>
    </w:pPr>
    <w:rPr>
      <w:b/>
      <w:bCs/>
      <w:snapToGrid w:val="0"/>
      <w:sz w:val="16"/>
      <w:lang w:eastAsia="en-US"/>
    </w:rPr>
  </w:style>
  <w:style w:type="paragraph" w:customStyle="1" w:styleId="RollCallTable">
    <w:name w:val="RollCallTable"/>
    <w:basedOn w:val="Normal"/>
    <w:rsid w:val="00E81B8B"/>
    <w:pPr>
      <w:spacing w:before="120" w:after="120"/>
    </w:pPr>
    <w:rPr>
      <w:snapToGrid w:val="0"/>
      <w:sz w:val="16"/>
      <w:lang w:eastAsia="en-US"/>
    </w:rPr>
  </w:style>
  <w:style w:type="character" w:customStyle="1" w:styleId="PageHeadingChar">
    <w:name w:val="PageHeading Char"/>
    <w:basedOn w:val="DefaultParagraphFont"/>
    <w:link w:val="PageHeading"/>
    <w:rsid w:val="00E81B8B"/>
    <w:rPr>
      <w:rFonts w:ascii="Arial" w:hAnsi="Arial" w:cs="Arial"/>
      <w:b/>
      <w:sz w:val="24"/>
      <w:lang w:val="fr-FR"/>
    </w:rPr>
  </w:style>
  <w:style w:type="paragraph" w:customStyle="1" w:styleId="NormalCenter12a">
    <w:name w:val="NormalCenter12a"/>
    <w:basedOn w:val="Normal"/>
    <w:rsid w:val="00E81B8B"/>
    <w:pPr>
      <w:spacing w:after="240"/>
      <w:jc w:val="center"/>
    </w:pPr>
  </w:style>
  <w:style w:type="paragraph" w:customStyle="1" w:styleId="AmHeadingConsam">
    <w:name w:val="AmHeadingConsam"/>
    <w:basedOn w:val="Normal"/>
    <w:next w:val="NormalCenter12a"/>
    <w:rsid w:val="00E81B8B"/>
    <w:pPr>
      <w:spacing w:before="720" w:after="240"/>
      <w:jc w:val="center"/>
    </w:pPr>
  </w:style>
  <w:style w:type="character" w:styleId="Hyperlink">
    <w:name w:val="Hyperlink"/>
    <w:uiPriority w:val="99"/>
    <w:unhideWhenUsed/>
    <w:rsid w:val="00E81B8B"/>
    <w:rPr>
      <w:color w:val="0000FF"/>
      <w:u w:val="single"/>
    </w:rPr>
  </w:style>
  <w:style w:type="paragraph" w:customStyle="1" w:styleId="Text1">
    <w:name w:val="Text 1"/>
    <w:basedOn w:val="Normal"/>
    <w:rsid w:val="00E81B8B"/>
    <w:pPr>
      <w:widowControl/>
      <w:spacing w:before="120" w:after="120"/>
      <w:ind w:left="850"/>
      <w:jc w:val="both"/>
    </w:pPr>
    <w:rPr>
      <w:rFonts w:eastAsiaTheme="minorHAnsi"/>
      <w:szCs w:val="22"/>
      <w:lang w:eastAsia="en-US"/>
    </w:rPr>
  </w:style>
  <w:style w:type="paragraph" w:customStyle="1" w:styleId="Point1">
    <w:name w:val="Point 1"/>
    <w:basedOn w:val="Normal"/>
    <w:rsid w:val="00E81B8B"/>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E81B8B"/>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E81B8B"/>
    <w:pPr>
      <w:keepNext/>
      <w:widowControl/>
      <w:spacing w:before="120" w:after="360"/>
      <w:jc w:val="center"/>
    </w:pPr>
    <w:rPr>
      <w:rFonts w:eastAsiaTheme="minorHAnsi"/>
      <w:b/>
      <w:sz w:val="32"/>
      <w:szCs w:val="22"/>
      <w:lang w:eastAsia="en-US"/>
    </w:rPr>
  </w:style>
  <w:style w:type="paragraph" w:customStyle="1" w:styleId="Fait">
    <w:name w:val="Fait à"/>
    <w:basedOn w:val="Normal"/>
    <w:next w:val="Institutionquisigne"/>
    <w:rsid w:val="00E81B8B"/>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E81B8B"/>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E81B8B"/>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E81B8B"/>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E81B8B"/>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81B8B"/>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E81B8B"/>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E81B8B"/>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E81B8B"/>
    <w:pPr>
      <w:widowControl/>
      <w:ind w:left="5103"/>
    </w:pPr>
    <w:rPr>
      <w:rFonts w:eastAsiaTheme="minorHAnsi"/>
      <w:szCs w:val="22"/>
      <w:lang w:eastAsia="en-US"/>
    </w:rPr>
  </w:style>
  <w:style w:type="paragraph" w:customStyle="1" w:styleId="Typedudocument">
    <w:name w:val="Type du document"/>
    <w:basedOn w:val="Normal"/>
    <w:next w:val="Titreobjet"/>
    <w:rsid w:val="00E81B8B"/>
    <w:pPr>
      <w:widowControl/>
      <w:spacing w:before="360"/>
      <w:jc w:val="center"/>
    </w:pPr>
    <w:rPr>
      <w:rFonts w:eastAsiaTheme="minorHAnsi"/>
      <w:b/>
      <w:szCs w:val="22"/>
      <w:lang w:eastAsia="en-US"/>
    </w:rPr>
  </w:style>
  <w:style w:type="paragraph" w:customStyle="1" w:styleId="Titreobjet">
    <w:name w:val="Titre objet"/>
    <w:basedOn w:val="Normal"/>
    <w:next w:val="Normal"/>
    <w:rsid w:val="00E81B8B"/>
    <w:pPr>
      <w:widowControl/>
      <w:spacing w:before="360" w:after="360"/>
      <w:jc w:val="center"/>
    </w:pPr>
    <w:rPr>
      <w:rFonts w:eastAsiaTheme="minorHAnsi"/>
      <w:b/>
      <w:szCs w:val="22"/>
      <w:lang w:eastAsia="en-US"/>
    </w:rPr>
  </w:style>
  <w:style w:type="character" w:customStyle="1" w:styleId="Marker00000000000000000000000">
    <w:name w:val="Marker00000000000000000000000"/>
    <w:basedOn w:val="DefaultParagraphFont"/>
    <w:rsid w:val="00E81B8B"/>
    <w:rPr>
      <w:color w:val="0000FF"/>
    </w:rPr>
  </w:style>
  <w:style w:type="character" w:customStyle="1" w:styleId="Marker000000000000000000000000">
    <w:name w:val="Marker000000000000000000000000"/>
    <w:basedOn w:val="DefaultParagraphFont"/>
    <w:rsid w:val="00E81B8B"/>
    <w:rPr>
      <w:color w:val="0000FF"/>
    </w:rPr>
  </w:style>
  <w:style w:type="character" w:customStyle="1" w:styleId="Marker10000000000000000000000000000000000000000000">
    <w:name w:val="Marker10000000000000000000000000000000000000000000"/>
    <w:basedOn w:val="DefaultParagraphFont"/>
    <w:rsid w:val="00E81B8B"/>
    <w:rPr>
      <w:color w:val="008000"/>
    </w:rPr>
  </w:style>
  <w:style w:type="character" w:customStyle="1" w:styleId="Marker100000000000000000000000000000000000000000000">
    <w:name w:val="Marker100000000000000000000000000000000000000000000"/>
    <w:basedOn w:val="DefaultParagraphFont"/>
    <w:rsid w:val="00E81B8B"/>
    <w:rPr>
      <w:color w:val="008000"/>
    </w:rPr>
  </w:style>
  <w:style w:type="character" w:customStyle="1" w:styleId="italic1">
    <w:name w:val="italic1"/>
    <w:basedOn w:val="DefaultParagraphFont"/>
    <w:rsid w:val="00E81B8B"/>
    <w:rPr>
      <w:i/>
      <w:iCs/>
    </w:rPr>
  </w:style>
  <w:style w:type="paragraph" w:styleId="ListParagraph">
    <w:name w:val="List Paragraph"/>
    <w:basedOn w:val="Normal"/>
    <w:uiPriority w:val="34"/>
    <w:qFormat/>
    <w:rsid w:val="00E81B8B"/>
    <w:pPr>
      <w:ind w:left="720"/>
      <w:contextualSpacing/>
    </w:pPr>
  </w:style>
  <w:style w:type="paragraph" w:customStyle="1" w:styleId="PageHeadingNotTOC">
    <w:name w:val="PageHeadingNotTOC"/>
    <w:basedOn w:val="Normal"/>
    <w:rsid w:val="00E81B8B"/>
    <w:pPr>
      <w:keepNext/>
      <w:spacing w:after="480"/>
      <w:jc w:val="center"/>
    </w:pPr>
    <w:rPr>
      <w:rFonts w:ascii="Arial" w:hAnsi="Arial" w:cs="Arial"/>
      <w:b/>
    </w:rPr>
  </w:style>
  <w:style w:type="paragraph" w:customStyle="1" w:styleId="AmHeadingPA">
    <w:name w:val="AmHeadingPA"/>
    <w:basedOn w:val="Normal"/>
    <w:next w:val="Normal"/>
    <w:rsid w:val="00E81B8B"/>
    <w:pPr>
      <w:spacing w:before="480" w:after="240"/>
      <w:jc w:val="center"/>
    </w:pPr>
    <w:rPr>
      <w:rFonts w:ascii="Arial" w:hAnsi="Arial"/>
      <w:b/>
      <w:caps/>
      <w:snapToGrid w:val="0"/>
      <w:szCs w:val="24"/>
      <w:lang w:eastAsia="en-US"/>
    </w:rPr>
  </w:style>
  <w:style w:type="character" w:customStyle="1" w:styleId="AmNumberTabsChar">
    <w:name w:val="AmNumberTabs Char"/>
    <w:basedOn w:val="DefaultParagraphFont"/>
    <w:link w:val="AmNumberTabs"/>
    <w:rsid w:val="00E81B8B"/>
    <w:rPr>
      <w:b/>
      <w:sz w:val="24"/>
      <w:lang w:val="fr-FR"/>
    </w:rPr>
  </w:style>
  <w:style w:type="character" w:customStyle="1" w:styleId="NormalBold12bChar">
    <w:name w:val="NormalBold12b Char"/>
    <w:basedOn w:val="AmNumberTabsChar"/>
    <w:link w:val="NormalBold12b"/>
    <w:rsid w:val="00E81B8B"/>
    <w:rPr>
      <w:b/>
      <w:sz w:val="24"/>
      <w:lang w:val="fr-FR"/>
    </w:rPr>
  </w:style>
  <w:style w:type="paragraph" w:customStyle="1" w:styleId="Normal24a">
    <w:name w:val="Normal24a"/>
    <w:basedOn w:val="Normal"/>
    <w:rsid w:val="00E81B8B"/>
    <w:pPr>
      <w:spacing w:after="480"/>
    </w:pPr>
  </w:style>
  <w:style w:type="paragraph" w:customStyle="1" w:styleId="LetterSalutation">
    <w:name w:val="LetterSalutation"/>
    <w:basedOn w:val="Normal"/>
    <w:rsid w:val="00E81B8B"/>
    <w:pPr>
      <w:spacing w:before="600" w:after="360"/>
    </w:pPr>
  </w:style>
  <w:style w:type="paragraph" w:customStyle="1" w:styleId="NormalBoldCenter">
    <w:name w:val="NormalBoldCenter"/>
    <w:basedOn w:val="Normal"/>
    <w:rsid w:val="00E81B8B"/>
    <w:pPr>
      <w:jc w:val="center"/>
    </w:pPr>
    <w:rPr>
      <w:b/>
    </w:rPr>
  </w:style>
  <w:style w:type="paragraph" w:customStyle="1" w:styleId="LetterSubject">
    <w:name w:val="LetterSubject"/>
    <w:basedOn w:val="Normal"/>
    <w:rsid w:val="00E81B8B"/>
    <w:pPr>
      <w:spacing w:before="480"/>
      <w:ind w:left="1134" w:hanging="1134"/>
    </w:pPr>
  </w:style>
  <w:style w:type="paragraph" w:customStyle="1" w:styleId="LetterSignature66b">
    <w:name w:val="LetterSignature66b"/>
    <w:basedOn w:val="Normal"/>
    <w:next w:val="Normal"/>
    <w:rsid w:val="00E81B8B"/>
    <w:pPr>
      <w:spacing w:before="1320"/>
    </w:pPr>
  </w:style>
  <w:style w:type="character" w:styleId="Emphasis">
    <w:name w:val="Emphasis"/>
    <w:basedOn w:val="DefaultParagraphFont"/>
    <w:uiPriority w:val="20"/>
    <w:qFormat/>
    <w:rsid w:val="00E81B8B"/>
    <w:rPr>
      <w:i/>
      <w:iCs/>
    </w:rPr>
  </w:style>
  <w:style w:type="paragraph" w:styleId="HTMLPreformatted">
    <w:name w:val="HTML Preformatted"/>
    <w:basedOn w:val="Normal"/>
    <w:link w:val="HTMLPreformattedChar"/>
    <w:rsid w:val="00EA1104"/>
    <w:rPr>
      <w:rFonts w:ascii="Consolas" w:hAnsi="Consolas"/>
      <w:sz w:val="20"/>
    </w:rPr>
  </w:style>
  <w:style w:type="character" w:customStyle="1" w:styleId="HTMLPreformattedChar">
    <w:name w:val="HTML Preformatted Char"/>
    <w:basedOn w:val="DefaultParagraphFont"/>
    <w:link w:val="HTMLPreformatted"/>
    <w:rsid w:val="00EA1104"/>
    <w:rPr>
      <w:rFonts w:ascii="Consolas" w:hAnsi="Consolas"/>
      <w:lang w:val="fr-FR"/>
    </w:rPr>
  </w:style>
  <w:style w:type="paragraph" w:customStyle="1" w:styleId="AmDocTypeTab">
    <w:name w:val="AmDocTypeTab"/>
    <w:basedOn w:val="Normal"/>
    <w:rsid w:val="00C7075C"/>
    <w:pPr>
      <w:tabs>
        <w:tab w:val="right" w:pos="9072"/>
      </w:tabs>
    </w:pPr>
    <w:rPr>
      <w:b/>
    </w:rPr>
  </w:style>
  <w:style w:type="paragraph" w:customStyle="1" w:styleId="AmDateTab">
    <w:name w:val="AmDateTab"/>
    <w:basedOn w:val="Normal"/>
    <w:rsid w:val="00C7075C"/>
    <w:pPr>
      <w:tabs>
        <w:tab w:val="right" w:pos="9072"/>
      </w:tabs>
    </w:pPr>
  </w:style>
  <w:style w:type="numbering" w:customStyle="1" w:styleId="NoList1">
    <w:name w:val="No List1"/>
    <w:next w:val="NoList"/>
    <w:uiPriority w:val="99"/>
    <w:semiHidden/>
    <w:unhideWhenUsed/>
    <w:rsid w:val="00C7075C"/>
  </w:style>
  <w:style w:type="paragraph" w:styleId="TOC4">
    <w:name w:val="toc 4"/>
    <w:basedOn w:val="Normal"/>
    <w:next w:val="Normal"/>
    <w:uiPriority w:val="39"/>
    <w:unhideWhenUsed/>
    <w:rsid w:val="00C7075C"/>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C7075C"/>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C7075C"/>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C7075C"/>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C7075C"/>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C7075C"/>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C7075C"/>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C7075C"/>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C7075C"/>
    <w:pPr>
      <w:widowControl/>
    </w:pPr>
    <w:rPr>
      <w:rFonts w:eastAsia="Calibri"/>
      <w:sz w:val="2"/>
      <w:szCs w:val="22"/>
      <w:lang w:eastAsia="en-US"/>
    </w:rPr>
  </w:style>
  <w:style w:type="paragraph" w:customStyle="1" w:styleId="FooterCouncil">
    <w:name w:val="Footer Council"/>
    <w:basedOn w:val="Normal"/>
    <w:rsid w:val="00C7075C"/>
    <w:pPr>
      <w:widowControl/>
    </w:pPr>
    <w:rPr>
      <w:rFonts w:eastAsia="Calibri"/>
      <w:sz w:val="2"/>
      <w:szCs w:val="22"/>
      <w:lang w:eastAsia="en-US"/>
    </w:rPr>
  </w:style>
  <w:style w:type="paragraph" w:customStyle="1" w:styleId="TechnicalBlock">
    <w:name w:val="Technical Block"/>
    <w:basedOn w:val="Normal"/>
    <w:next w:val="Normal"/>
    <w:rsid w:val="00C7075C"/>
    <w:pPr>
      <w:widowControl/>
      <w:spacing w:after="240"/>
      <w:jc w:val="center"/>
    </w:pPr>
    <w:rPr>
      <w:rFonts w:eastAsia="Calibri"/>
      <w:szCs w:val="22"/>
      <w:lang w:eastAsia="en-US"/>
    </w:rPr>
  </w:style>
  <w:style w:type="character" w:customStyle="1" w:styleId="Marker">
    <w:name w:val="Marker"/>
    <w:basedOn w:val="DefaultParagraphFont"/>
    <w:rsid w:val="00C7075C"/>
    <w:rPr>
      <w:color w:val="0000FF"/>
      <w:bdr w:val="none" w:sz="0" w:space="0" w:color="auto"/>
      <w:shd w:val="clear" w:color="auto" w:fill="auto"/>
    </w:rPr>
  </w:style>
  <w:style w:type="character" w:customStyle="1" w:styleId="Marker1">
    <w:name w:val="Marker1"/>
    <w:basedOn w:val="DefaultParagraphFont"/>
    <w:rsid w:val="00C7075C"/>
    <w:rPr>
      <w:color w:val="008000"/>
      <w:bdr w:val="none" w:sz="0" w:space="0" w:color="auto"/>
      <w:shd w:val="clear" w:color="auto" w:fill="auto"/>
    </w:rPr>
  </w:style>
  <w:style w:type="paragraph" w:customStyle="1" w:styleId="Text2">
    <w:name w:val="Text 2"/>
    <w:basedOn w:val="Normal"/>
    <w:rsid w:val="00C7075C"/>
    <w:pPr>
      <w:widowControl/>
      <w:spacing w:before="120" w:after="120" w:line="360" w:lineRule="auto"/>
      <w:ind w:left="1417"/>
    </w:pPr>
    <w:rPr>
      <w:rFonts w:eastAsia="Calibri"/>
      <w:szCs w:val="22"/>
      <w:lang w:eastAsia="en-US"/>
    </w:rPr>
  </w:style>
  <w:style w:type="paragraph" w:customStyle="1" w:styleId="Text3">
    <w:name w:val="Text 3"/>
    <w:basedOn w:val="Normal"/>
    <w:rsid w:val="00C7075C"/>
    <w:pPr>
      <w:widowControl/>
      <w:spacing w:before="120" w:after="120" w:line="360" w:lineRule="auto"/>
      <w:ind w:left="1984"/>
    </w:pPr>
    <w:rPr>
      <w:rFonts w:eastAsia="Calibri"/>
      <w:szCs w:val="22"/>
      <w:lang w:eastAsia="en-US"/>
    </w:rPr>
  </w:style>
  <w:style w:type="paragraph" w:customStyle="1" w:styleId="Text4">
    <w:name w:val="Text 4"/>
    <w:basedOn w:val="Normal"/>
    <w:rsid w:val="00C7075C"/>
    <w:pPr>
      <w:widowControl/>
      <w:spacing w:before="120" w:after="120" w:line="360" w:lineRule="auto"/>
      <w:ind w:left="2551"/>
    </w:pPr>
    <w:rPr>
      <w:rFonts w:eastAsia="Calibri"/>
      <w:szCs w:val="22"/>
      <w:lang w:eastAsia="en-US"/>
    </w:rPr>
  </w:style>
  <w:style w:type="paragraph" w:customStyle="1" w:styleId="Text5">
    <w:name w:val="Text 5"/>
    <w:basedOn w:val="Normal"/>
    <w:rsid w:val="00C7075C"/>
    <w:pPr>
      <w:widowControl/>
      <w:spacing w:before="120" w:after="120" w:line="360" w:lineRule="auto"/>
      <w:ind w:left="3118"/>
    </w:pPr>
    <w:rPr>
      <w:rFonts w:eastAsia="Calibri"/>
      <w:szCs w:val="22"/>
      <w:lang w:eastAsia="en-US"/>
    </w:rPr>
  </w:style>
  <w:style w:type="paragraph" w:customStyle="1" w:styleId="Text6">
    <w:name w:val="Text 6"/>
    <w:basedOn w:val="Normal"/>
    <w:rsid w:val="00C7075C"/>
    <w:pPr>
      <w:widowControl/>
      <w:spacing w:before="120" w:after="120" w:line="360" w:lineRule="auto"/>
      <w:ind w:left="3685"/>
    </w:pPr>
    <w:rPr>
      <w:rFonts w:eastAsia="Calibri"/>
      <w:szCs w:val="22"/>
      <w:lang w:eastAsia="en-US"/>
    </w:rPr>
  </w:style>
  <w:style w:type="paragraph" w:customStyle="1" w:styleId="Text7">
    <w:name w:val="Text 7"/>
    <w:basedOn w:val="Normal"/>
    <w:rsid w:val="00C7075C"/>
    <w:pPr>
      <w:widowControl/>
      <w:spacing w:before="120" w:after="120" w:line="360" w:lineRule="auto"/>
      <w:ind w:left="4252"/>
    </w:pPr>
    <w:rPr>
      <w:rFonts w:eastAsia="Calibri"/>
      <w:szCs w:val="22"/>
      <w:lang w:eastAsia="en-US"/>
    </w:rPr>
  </w:style>
  <w:style w:type="paragraph" w:customStyle="1" w:styleId="Text8">
    <w:name w:val="Text 8"/>
    <w:basedOn w:val="Normal"/>
    <w:rsid w:val="00C7075C"/>
    <w:pPr>
      <w:widowControl/>
      <w:spacing w:before="120" w:after="120" w:line="360" w:lineRule="auto"/>
      <w:ind w:left="4819"/>
    </w:pPr>
    <w:rPr>
      <w:rFonts w:eastAsia="Calibri"/>
      <w:szCs w:val="22"/>
      <w:lang w:eastAsia="en-US"/>
    </w:rPr>
  </w:style>
  <w:style w:type="paragraph" w:customStyle="1" w:styleId="Text9">
    <w:name w:val="Text 9"/>
    <w:basedOn w:val="Normal"/>
    <w:rsid w:val="00C7075C"/>
    <w:pPr>
      <w:widowControl/>
      <w:spacing w:before="120" w:after="120" w:line="360" w:lineRule="auto"/>
      <w:ind w:left="5386"/>
    </w:pPr>
    <w:rPr>
      <w:rFonts w:eastAsia="Calibri"/>
      <w:szCs w:val="22"/>
      <w:lang w:eastAsia="en-US"/>
    </w:rPr>
  </w:style>
  <w:style w:type="paragraph" w:customStyle="1" w:styleId="Text10">
    <w:name w:val="Text 10"/>
    <w:basedOn w:val="Normal"/>
    <w:rsid w:val="00C7075C"/>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C7075C"/>
    <w:pPr>
      <w:widowControl/>
      <w:spacing w:before="120" w:after="120" w:line="360" w:lineRule="auto"/>
      <w:jc w:val="center"/>
    </w:pPr>
    <w:rPr>
      <w:rFonts w:eastAsia="Calibri"/>
      <w:szCs w:val="22"/>
      <w:lang w:eastAsia="en-US"/>
    </w:rPr>
  </w:style>
  <w:style w:type="paragraph" w:customStyle="1" w:styleId="NormalLeft">
    <w:name w:val="Normal Left"/>
    <w:basedOn w:val="Normal"/>
    <w:rsid w:val="00C7075C"/>
    <w:pPr>
      <w:widowControl/>
      <w:spacing w:before="120" w:after="120" w:line="360" w:lineRule="auto"/>
    </w:pPr>
    <w:rPr>
      <w:rFonts w:eastAsia="Calibri"/>
      <w:szCs w:val="22"/>
      <w:lang w:eastAsia="en-US"/>
    </w:rPr>
  </w:style>
  <w:style w:type="paragraph" w:customStyle="1" w:styleId="NormalRight">
    <w:name w:val="Normal Right"/>
    <w:basedOn w:val="Normal"/>
    <w:rsid w:val="00C7075C"/>
    <w:pPr>
      <w:widowControl/>
      <w:spacing w:before="120" w:after="120" w:line="360" w:lineRule="auto"/>
      <w:jc w:val="right"/>
    </w:pPr>
    <w:rPr>
      <w:rFonts w:eastAsia="Calibri"/>
      <w:szCs w:val="22"/>
      <w:lang w:eastAsia="en-US"/>
    </w:rPr>
  </w:style>
  <w:style w:type="paragraph" w:customStyle="1" w:styleId="QuotedText">
    <w:name w:val="Quoted Text"/>
    <w:basedOn w:val="Normal"/>
    <w:rsid w:val="00C7075C"/>
    <w:pPr>
      <w:widowControl/>
      <w:spacing w:before="120" w:after="120" w:line="360" w:lineRule="auto"/>
      <w:ind w:left="1417"/>
    </w:pPr>
    <w:rPr>
      <w:rFonts w:eastAsia="Calibri"/>
      <w:szCs w:val="22"/>
      <w:lang w:eastAsia="en-US"/>
    </w:rPr>
  </w:style>
  <w:style w:type="paragraph" w:customStyle="1" w:styleId="Point0">
    <w:name w:val="Point 0"/>
    <w:basedOn w:val="Normal"/>
    <w:rsid w:val="00C7075C"/>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C7075C"/>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C7075C"/>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C7075C"/>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C7075C"/>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C7075C"/>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C7075C"/>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C7075C"/>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C7075C"/>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C7075C"/>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C7075C"/>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C7075C"/>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C7075C"/>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C7075C"/>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C7075C"/>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C7075C"/>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C7075C"/>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C7075C"/>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C7075C"/>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C7075C"/>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C7075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C7075C"/>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C7075C"/>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C7075C"/>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C7075C"/>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C7075C"/>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C7075C"/>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C7075C"/>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C7075C"/>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C7075C"/>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C7075C"/>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C7075C"/>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C7075C"/>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C7075C"/>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C7075C"/>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C7075C"/>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C7075C"/>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C7075C"/>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C7075C"/>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C7075C"/>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C7075C"/>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C7075C"/>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C7075C"/>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C7075C"/>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C7075C"/>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C7075C"/>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C7075C"/>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C7075C"/>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C7075C"/>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C7075C"/>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C7075C"/>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C7075C"/>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C7075C"/>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C7075C"/>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C7075C"/>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C7075C"/>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C7075C"/>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C7075C"/>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C7075C"/>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C7075C"/>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C7075C"/>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C7075C"/>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C7075C"/>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C7075C"/>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C7075C"/>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C7075C"/>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C7075C"/>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C7075C"/>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C7075C"/>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C7075C"/>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C7075C"/>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C7075C"/>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C7075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C7075C"/>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C7075C"/>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C7075C"/>
    <w:pPr>
      <w:widowControl/>
      <w:spacing w:before="360" w:line="360" w:lineRule="auto"/>
      <w:jc w:val="center"/>
    </w:pPr>
    <w:rPr>
      <w:rFonts w:eastAsia="Calibri"/>
      <w:b/>
      <w:szCs w:val="22"/>
      <w:lang w:eastAsia="en-US"/>
    </w:rPr>
  </w:style>
  <w:style w:type="paragraph" w:customStyle="1" w:styleId="Personnequisigne">
    <w:name w:val="Personne qui signe"/>
    <w:basedOn w:val="Normal"/>
    <w:next w:val="Institutionquisigne"/>
    <w:rsid w:val="00C7075C"/>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C7075C"/>
    <w:pPr>
      <w:widowControl/>
      <w:spacing w:line="360" w:lineRule="auto"/>
      <w:jc w:val="center"/>
    </w:pPr>
    <w:rPr>
      <w:rFonts w:eastAsia="Calibri"/>
      <w:b/>
      <w:szCs w:val="22"/>
      <w:lang w:eastAsia="en-US"/>
    </w:rPr>
  </w:style>
  <w:style w:type="paragraph" w:customStyle="1" w:styleId="Lignefinal">
    <w:name w:val="Ligne final"/>
    <w:basedOn w:val="Normal"/>
    <w:next w:val="Normal"/>
    <w:rsid w:val="00C7075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C7075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C7075C"/>
    <w:pPr>
      <w:widowControl/>
      <w:spacing w:line="360" w:lineRule="auto"/>
      <w:ind w:left="5103"/>
    </w:pPr>
    <w:rPr>
      <w:rFonts w:eastAsia="Calibri"/>
      <w:szCs w:val="22"/>
      <w:lang w:eastAsia="en-US"/>
    </w:rPr>
  </w:style>
  <w:style w:type="paragraph" w:customStyle="1" w:styleId="EntLogo">
    <w:name w:val="EntLogo"/>
    <w:basedOn w:val="Normal"/>
    <w:rsid w:val="00C7075C"/>
    <w:pPr>
      <w:widowControl/>
      <w:tabs>
        <w:tab w:val="right" w:pos="9639"/>
      </w:tabs>
      <w:spacing w:line="360" w:lineRule="auto"/>
    </w:pPr>
    <w:rPr>
      <w:rFonts w:eastAsia="Calibri"/>
      <w:b/>
      <w:szCs w:val="22"/>
      <w:lang w:eastAsia="en-US"/>
    </w:rPr>
  </w:style>
  <w:style w:type="paragraph" w:customStyle="1" w:styleId="EntInstit">
    <w:name w:val="EntInstit"/>
    <w:basedOn w:val="Normal"/>
    <w:rsid w:val="00C7075C"/>
    <w:pPr>
      <w:widowControl/>
      <w:jc w:val="right"/>
    </w:pPr>
    <w:rPr>
      <w:rFonts w:eastAsia="Calibri"/>
      <w:b/>
      <w:szCs w:val="22"/>
      <w:lang w:eastAsia="en-US"/>
    </w:rPr>
  </w:style>
  <w:style w:type="paragraph" w:customStyle="1" w:styleId="EntRefer">
    <w:name w:val="EntRefer"/>
    <w:basedOn w:val="Normal"/>
    <w:rsid w:val="00C7075C"/>
    <w:pPr>
      <w:widowControl/>
    </w:pPr>
    <w:rPr>
      <w:rFonts w:eastAsia="Calibri"/>
      <w:b/>
      <w:szCs w:val="22"/>
      <w:lang w:eastAsia="en-US"/>
    </w:rPr>
  </w:style>
  <w:style w:type="paragraph" w:customStyle="1" w:styleId="EntEmet">
    <w:name w:val="EntEmet"/>
    <w:basedOn w:val="Normal"/>
    <w:rsid w:val="00C7075C"/>
    <w:pPr>
      <w:widowControl/>
      <w:spacing w:before="40"/>
    </w:pPr>
    <w:rPr>
      <w:rFonts w:eastAsia="Calibri"/>
      <w:szCs w:val="22"/>
      <w:lang w:eastAsia="en-US"/>
    </w:rPr>
  </w:style>
  <w:style w:type="paragraph" w:customStyle="1" w:styleId="EntText">
    <w:name w:val="EntText"/>
    <w:basedOn w:val="Normal"/>
    <w:rsid w:val="00C7075C"/>
    <w:pPr>
      <w:widowControl/>
      <w:spacing w:before="120" w:after="120" w:line="360" w:lineRule="auto"/>
    </w:pPr>
    <w:rPr>
      <w:rFonts w:eastAsia="Calibri"/>
      <w:szCs w:val="22"/>
      <w:lang w:eastAsia="en-US"/>
    </w:rPr>
  </w:style>
  <w:style w:type="paragraph" w:customStyle="1" w:styleId="EntEU">
    <w:name w:val="EntEU"/>
    <w:basedOn w:val="Normal"/>
    <w:rsid w:val="00C7075C"/>
    <w:pPr>
      <w:widowControl/>
      <w:spacing w:before="240" w:after="240"/>
      <w:jc w:val="center"/>
    </w:pPr>
    <w:rPr>
      <w:rFonts w:eastAsia="Calibri"/>
      <w:b/>
      <w:sz w:val="36"/>
      <w:szCs w:val="22"/>
      <w:lang w:eastAsia="en-US"/>
    </w:rPr>
  </w:style>
  <w:style w:type="paragraph" w:customStyle="1" w:styleId="EntASSOC">
    <w:name w:val="EntASSOC"/>
    <w:basedOn w:val="Normal"/>
    <w:rsid w:val="00C7075C"/>
    <w:pPr>
      <w:widowControl/>
      <w:jc w:val="center"/>
    </w:pPr>
    <w:rPr>
      <w:rFonts w:eastAsia="Calibri"/>
      <w:b/>
      <w:szCs w:val="22"/>
      <w:lang w:eastAsia="en-US"/>
    </w:rPr>
  </w:style>
  <w:style w:type="paragraph" w:customStyle="1" w:styleId="EntACP">
    <w:name w:val="EntACP"/>
    <w:basedOn w:val="Normal"/>
    <w:rsid w:val="00C7075C"/>
    <w:pPr>
      <w:widowControl/>
      <w:spacing w:after="180"/>
      <w:jc w:val="center"/>
    </w:pPr>
    <w:rPr>
      <w:rFonts w:eastAsia="Calibri"/>
      <w:b/>
      <w:spacing w:val="40"/>
      <w:sz w:val="28"/>
      <w:szCs w:val="22"/>
      <w:lang w:eastAsia="en-US"/>
    </w:rPr>
  </w:style>
  <w:style w:type="paragraph" w:customStyle="1" w:styleId="EntInstitACP">
    <w:name w:val="EntInstitACP"/>
    <w:basedOn w:val="Normal"/>
    <w:rsid w:val="00C7075C"/>
    <w:pPr>
      <w:widowControl/>
      <w:jc w:val="center"/>
    </w:pPr>
    <w:rPr>
      <w:rFonts w:eastAsia="Calibri"/>
      <w:b/>
      <w:szCs w:val="22"/>
      <w:lang w:eastAsia="en-US"/>
    </w:rPr>
  </w:style>
  <w:style w:type="paragraph" w:customStyle="1" w:styleId="Genredudocument">
    <w:name w:val="Genre du document"/>
    <w:basedOn w:val="EntRefer"/>
    <w:next w:val="EntRefer"/>
    <w:rsid w:val="00C7075C"/>
    <w:pPr>
      <w:spacing w:before="240"/>
    </w:pPr>
  </w:style>
  <w:style w:type="paragraph" w:customStyle="1" w:styleId="Accordtitre">
    <w:name w:val="Accord titre"/>
    <w:basedOn w:val="Normal"/>
    <w:rsid w:val="00C7075C"/>
    <w:pPr>
      <w:widowControl/>
      <w:spacing w:line="360" w:lineRule="auto"/>
      <w:jc w:val="center"/>
    </w:pPr>
    <w:rPr>
      <w:rFonts w:eastAsia="Calibri"/>
      <w:szCs w:val="22"/>
      <w:lang w:eastAsia="en-US"/>
    </w:rPr>
  </w:style>
  <w:style w:type="paragraph" w:customStyle="1" w:styleId="FooterAccord">
    <w:name w:val="Footer Accord"/>
    <w:basedOn w:val="Normal"/>
    <w:rsid w:val="00C7075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C7075C"/>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C7075C"/>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C7075C"/>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C7075C"/>
    <w:pPr>
      <w:spacing w:after="240"/>
    </w:pPr>
  </w:style>
  <w:style w:type="paragraph" w:customStyle="1" w:styleId="Annexetitre">
    <w:name w:val="Annexe titre"/>
    <w:basedOn w:val="Normal"/>
    <w:next w:val="Normal"/>
    <w:rsid w:val="00C7075C"/>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C7075C"/>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C7075C"/>
    <w:pPr>
      <w:widowControl/>
    </w:pPr>
    <w:rPr>
      <w:rFonts w:eastAsia="Calibri"/>
      <w:sz w:val="20"/>
      <w:lang w:eastAsia="en-US"/>
    </w:rPr>
  </w:style>
  <w:style w:type="character" w:customStyle="1" w:styleId="EndnoteTextChar">
    <w:name w:val="Endnote Text Char"/>
    <w:basedOn w:val="DefaultParagraphFont"/>
    <w:link w:val="EndnoteText"/>
    <w:uiPriority w:val="99"/>
    <w:rsid w:val="00C7075C"/>
    <w:rPr>
      <w:rFonts w:eastAsia="Calibri"/>
      <w:lang w:val="fr-FR" w:eastAsia="en-US"/>
    </w:rPr>
  </w:style>
  <w:style w:type="character" w:styleId="EndnoteReference">
    <w:name w:val="endnote reference"/>
    <w:basedOn w:val="DefaultParagraphFont"/>
    <w:uiPriority w:val="99"/>
    <w:unhideWhenUsed/>
    <w:rsid w:val="00C7075C"/>
    <w:rPr>
      <w:bdr w:val="none" w:sz="0" w:space="0" w:color="auto"/>
      <w:shd w:val="clear" w:color="auto" w:fill="auto"/>
      <w:vertAlign w:val="superscript"/>
    </w:rPr>
  </w:style>
  <w:style w:type="paragraph" w:customStyle="1" w:styleId="Division1">
    <w:name w:val="Division 1"/>
    <w:basedOn w:val="Normal"/>
    <w:next w:val="Normal"/>
    <w:rsid w:val="00C7075C"/>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C7075C"/>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C7075C"/>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C7075C"/>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C7075C"/>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C7075C"/>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C7075C"/>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C7075C"/>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C7075C"/>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C7075C"/>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C7075C"/>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C7075C"/>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C7075C"/>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C7075C"/>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C7075C"/>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C7075C"/>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C7075C"/>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C7075C"/>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C7075C"/>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C7075C"/>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C7075C"/>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C7075C"/>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C7075C"/>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C7075C"/>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C7075C"/>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C7075C"/>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C7075C"/>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C7075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C7075C"/>
    <w:pPr>
      <w:pBdr>
        <w:top w:val="none" w:sz="0" w:space="0" w:color="auto"/>
        <w:left w:val="single" w:sz="4" w:space="20" w:color="auto"/>
      </w:pBdr>
    </w:pPr>
  </w:style>
  <w:style w:type="character" w:customStyle="1" w:styleId="diff-tte-added">
    <w:name w:val="diff-tte-added"/>
    <w:basedOn w:val="DefaultParagraphFont"/>
    <w:rsid w:val="00C7075C"/>
    <w:rPr>
      <w:b/>
      <w:i/>
    </w:rPr>
  </w:style>
  <w:style w:type="character" w:customStyle="1" w:styleId="diff-tte-removed">
    <w:name w:val="diff-tte-removed"/>
    <w:basedOn w:val="DefaultParagraphFont"/>
    <w:rsid w:val="00C7075C"/>
    <w:rPr>
      <w:strike/>
    </w:rPr>
  </w:style>
  <w:style w:type="character" w:customStyle="1" w:styleId="Hyperlink1">
    <w:name w:val="Hyperlink1"/>
    <w:basedOn w:val="DefaultParagraphFont"/>
    <w:uiPriority w:val="99"/>
    <w:unhideWhenUsed/>
    <w:rsid w:val="00C7075C"/>
    <w:rPr>
      <w:color w:val="0563C1"/>
      <w:u w:val="single"/>
    </w:rPr>
  </w:style>
  <w:style w:type="paragraph" w:styleId="NormalWeb">
    <w:name w:val="Normal (Web)"/>
    <w:basedOn w:val="Normal"/>
    <w:uiPriority w:val="99"/>
    <w:unhideWhenUsed/>
    <w:rsid w:val="00C7075C"/>
    <w:pPr>
      <w:widowControl/>
      <w:spacing w:before="100" w:beforeAutospacing="1" w:after="100" w:afterAutospacing="1"/>
    </w:pPr>
    <w:rPr>
      <w:szCs w:val="24"/>
    </w:rPr>
  </w:style>
  <w:style w:type="paragraph" w:styleId="Revision">
    <w:name w:val="Revision"/>
    <w:hidden/>
    <w:uiPriority w:val="99"/>
    <w:semiHidden/>
    <w:rsid w:val="00C7075C"/>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6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E2F8C-CA58-4627-8CF5-3BC6B3FB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522</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CORMAN Christel</dc:creator>
  <cp:keywords/>
  <cp:lastModifiedBy>BINKEVICIUTE Aurelija</cp:lastModifiedBy>
  <cp:revision>3</cp:revision>
  <cp:lastPrinted>2004-11-19T15:42:00Z</cp:lastPrinted>
  <dcterms:created xsi:type="dcterms:W3CDTF">2024-09-09T13:53:00Z</dcterms:created>
  <dcterms:modified xsi:type="dcterms:W3CDTF">2024-10-16T11:47:00Z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P9_TA(2024)0343_</vt:lpwstr>
  </property>
  <property fmtid="{D5CDD505-2E9C-101B-9397-08002B2CF9AE}" pid="4" name="&lt;Type&gt;">
    <vt:lpwstr>RR</vt:lpwstr>
  </property>
</Properties>
</file>