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E35B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E35BA" w:rsidRDefault="00FF2882" w:rsidP="0010095E">
            <w:pPr>
              <w:pStyle w:val="EPName"/>
            </w:pPr>
            <w:r w:rsidRPr="00BE35BA">
              <w:t>Parlament Europejski</w:t>
            </w:r>
          </w:p>
          <w:p w:rsidR="00751A4A" w:rsidRPr="00BE35B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F4D16">
              <w:t>2019</w:t>
            </w:r>
            <w:r w:rsidRPr="00BE35BA">
              <w:t>-</w:t>
            </w:r>
            <w:r w:rsidRPr="007F4D16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E35BA" w:rsidRDefault="00187494" w:rsidP="0010095E">
            <w:pPr>
              <w:pStyle w:val="EPLogo"/>
            </w:pPr>
            <w:r w:rsidRPr="00BE35B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E35BA" w:rsidRDefault="00D058B8" w:rsidP="004C5D52">
      <w:pPr>
        <w:pStyle w:val="LineTop"/>
      </w:pPr>
    </w:p>
    <w:p w:rsidR="00680577" w:rsidRPr="00BE35BA" w:rsidRDefault="00FF2882" w:rsidP="00680577">
      <w:pPr>
        <w:pStyle w:val="EPBodyTA1"/>
      </w:pPr>
      <w:r w:rsidRPr="00BE35BA">
        <w:t>TEKSTY PRZYJĘTE</w:t>
      </w:r>
    </w:p>
    <w:p w:rsidR="00D058B8" w:rsidRPr="00BE35BA" w:rsidRDefault="00D058B8" w:rsidP="00D058B8">
      <w:pPr>
        <w:pStyle w:val="LineBottom"/>
      </w:pPr>
    </w:p>
    <w:p w:rsidR="00FF2882" w:rsidRPr="00BE35BA" w:rsidRDefault="00FF2882" w:rsidP="00FF2882">
      <w:pPr>
        <w:pStyle w:val="ATHeading1"/>
      </w:pPr>
      <w:bookmarkStart w:id="0" w:name="TANumber"/>
      <w:r w:rsidRPr="00BE35BA">
        <w:t>P</w:t>
      </w:r>
      <w:r w:rsidRPr="007F4D16">
        <w:t>9</w:t>
      </w:r>
      <w:r w:rsidRPr="00BE35BA">
        <w:t>_TA(</w:t>
      </w:r>
      <w:r w:rsidRPr="007F4D16">
        <w:t>2024</w:t>
      </w:r>
      <w:r w:rsidRPr="00BE35BA">
        <w:t>)</w:t>
      </w:r>
      <w:r w:rsidRPr="007F4D16">
        <w:t>0</w:t>
      </w:r>
      <w:bookmarkEnd w:id="0"/>
      <w:r w:rsidR="00BF38CE" w:rsidRPr="007F4D16">
        <w:t>343</w:t>
      </w:r>
    </w:p>
    <w:p w:rsidR="00FF2882" w:rsidRPr="00BE35BA" w:rsidRDefault="00FF2882" w:rsidP="00FF2882">
      <w:pPr>
        <w:pStyle w:val="ATHeading2"/>
      </w:pPr>
      <w:bookmarkStart w:id="1" w:name="title"/>
      <w:r w:rsidRPr="00BE35BA">
        <w:t>Ustanowienie Instrumentu Wsparcia Reform i Wzrostu Gospodarczego na</w:t>
      </w:r>
      <w:r w:rsidR="003725DC">
        <w:t xml:space="preserve"> </w:t>
      </w:r>
      <w:r w:rsidRPr="00BE35BA">
        <w:t>Bałkanach Zachodnich</w:t>
      </w:r>
      <w:bookmarkEnd w:id="1"/>
    </w:p>
    <w:p w:rsidR="00FF2882" w:rsidRPr="00BE35BA" w:rsidRDefault="00FF2882" w:rsidP="00FF2882">
      <w:pPr>
        <w:rPr>
          <w:i/>
          <w:vanish/>
        </w:rPr>
      </w:pPr>
      <w:r w:rsidRPr="00BE35BA">
        <w:rPr>
          <w:i/>
        </w:rPr>
        <w:fldChar w:fldCharType="begin"/>
      </w:r>
      <w:r w:rsidRPr="00BE35BA">
        <w:rPr>
          <w:i/>
        </w:rPr>
        <w:instrText xml:space="preserve"> TC"(</w:instrText>
      </w:r>
      <w:bookmarkStart w:id="2" w:name="DocNumber"/>
      <w:r w:rsidRPr="00BE35BA">
        <w:rPr>
          <w:i/>
        </w:rPr>
        <w:instrText>A</w:instrText>
      </w:r>
      <w:r w:rsidRPr="007F4D16">
        <w:rPr>
          <w:i/>
        </w:rPr>
        <w:instrText>9</w:instrText>
      </w:r>
      <w:r w:rsidRPr="00BE35BA">
        <w:rPr>
          <w:i/>
        </w:rPr>
        <w:instrText>-</w:instrText>
      </w:r>
      <w:r w:rsidRPr="007F4D16">
        <w:rPr>
          <w:i/>
        </w:rPr>
        <w:instrText>0085</w:instrText>
      </w:r>
      <w:r w:rsidRPr="00BE35BA">
        <w:rPr>
          <w:i/>
        </w:rPr>
        <w:instrText>/</w:instrText>
      </w:r>
      <w:r w:rsidRPr="007F4D16">
        <w:rPr>
          <w:i/>
        </w:rPr>
        <w:instrText>2024</w:instrText>
      </w:r>
      <w:bookmarkEnd w:id="2"/>
      <w:r w:rsidRPr="00BE35BA">
        <w:rPr>
          <w:i/>
        </w:rPr>
        <w:instrText xml:space="preserve"> - Sprawozdawca: Tonino Picula, Karlo Ressler)"\l</w:instrText>
      </w:r>
      <w:r w:rsidRPr="007F4D16">
        <w:rPr>
          <w:i/>
        </w:rPr>
        <w:instrText>3</w:instrText>
      </w:r>
      <w:r w:rsidRPr="00BE35BA">
        <w:rPr>
          <w:i/>
        </w:rPr>
        <w:instrText xml:space="preserve"> \n&gt; \* MERGEFORMAT </w:instrText>
      </w:r>
      <w:r w:rsidRPr="00BE35BA">
        <w:rPr>
          <w:i/>
        </w:rPr>
        <w:fldChar w:fldCharType="end"/>
      </w:r>
    </w:p>
    <w:p w:rsidR="00FF2882" w:rsidRPr="00BE35BA" w:rsidRDefault="00FF2882" w:rsidP="00FF2882">
      <w:pPr>
        <w:rPr>
          <w:vanish/>
        </w:rPr>
      </w:pPr>
      <w:bookmarkStart w:id="3" w:name="Commission"/>
      <w:r w:rsidRPr="00BE35BA">
        <w:rPr>
          <w:vanish/>
        </w:rPr>
        <w:t>Komisja Spraw Zagranicznych</w:t>
      </w:r>
      <w:bookmarkEnd w:id="3"/>
      <w:r w:rsidR="00B824FA">
        <w:rPr>
          <w:vanish/>
        </w:rPr>
        <w:t xml:space="preserve"> i </w:t>
      </w:r>
      <w:r w:rsidR="00B824FA" w:rsidRPr="00D87C15">
        <w:rPr>
          <w:vanish/>
        </w:rPr>
        <w:t>Komisja Budżetowa</w:t>
      </w:r>
      <w:r w:rsidR="00B824FA">
        <w:rPr>
          <w:vanish/>
        </w:rPr>
        <w:t xml:space="preserve"> </w:t>
      </w:r>
    </w:p>
    <w:p w:rsidR="00FF2882" w:rsidRPr="00BE35BA" w:rsidRDefault="00FF2882" w:rsidP="00FF2882">
      <w:pPr>
        <w:rPr>
          <w:vanish/>
        </w:rPr>
      </w:pPr>
      <w:bookmarkStart w:id="4" w:name="PE"/>
      <w:r w:rsidRPr="00BE35BA">
        <w:rPr>
          <w:vanish/>
        </w:rPr>
        <w:t>PE</w:t>
      </w:r>
      <w:r w:rsidRPr="007F4D16">
        <w:rPr>
          <w:vanish/>
        </w:rPr>
        <w:t>758</w:t>
      </w:r>
      <w:r w:rsidRPr="00BE35BA">
        <w:rPr>
          <w:vanish/>
        </w:rPr>
        <w:t>.</w:t>
      </w:r>
      <w:r w:rsidRPr="007F4D16">
        <w:rPr>
          <w:vanish/>
        </w:rPr>
        <w:t>888</w:t>
      </w:r>
      <w:bookmarkEnd w:id="4"/>
    </w:p>
    <w:p w:rsidR="00FF2882" w:rsidRPr="00BE35BA" w:rsidRDefault="00FF2882" w:rsidP="00FF2882">
      <w:pPr>
        <w:pStyle w:val="ATHeading3"/>
      </w:pPr>
      <w:bookmarkStart w:id="5" w:name="Sujet"/>
      <w:r w:rsidRPr="00BE35BA">
        <w:t xml:space="preserve">Rezolucja ustawodawcza Parlamentu Europejskiego z dnia </w:t>
      </w:r>
      <w:r w:rsidR="003725DC" w:rsidRPr="007F4D16">
        <w:t>24</w:t>
      </w:r>
      <w:r w:rsidR="003725DC">
        <w:t xml:space="preserve"> kwietnia</w:t>
      </w:r>
      <w:r w:rsidRPr="00BE35BA">
        <w:t xml:space="preserve"> </w:t>
      </w:r>
      <w:r w:rsidRPr="007F4D16">
        <w:t>2024</w:t>
      </w:r>
      <w:r w:rsidRPr="00BE35BA">
        <w:t xml:space="preserve"> r. w sprawie wniosku dotyczącego rozporządzenia Parlamentu Europejskiego i Rady w sprawie ustanowienia Instrumentu Wsparcia Reform i Wzrostu Gospodarczego na Bałkanach Zachodnich</w:t>
      </w:r>
      <w:bookmarkEnd w:id="5"/>
      <w:r w:rsidRPr="00BE35BA">
        <w:t xml:space="preserve"> </w:t>
      </w:r>
      <w:bookmarkStart w:id="6" w:name="References"/>
      <w:r w:rsidRPr="00BE35BA">
        <w:t>(COM(</w:t>
      </w:r>
      <w:r w:rsidRPr="007F4D16">
        <w:t>2023</w:t>
      </w:r>
      <w:r w:rsidRPr="00BE35BA">
        <w:t>)</w:t>
      </w:r>
      <w:r w:rsidRPr="007F4D16">
        <w:t>0692</w:t>
      </w:r>
      <w:r w:rsidRPr="00BE35BA">
        <w:t xml:space="preserve"> – C</w:t>
      </w:r>
      <w:r w:rsidRPr="007F4D16">
        <w:t>9</w:t>
      </w:r>
      <w:r w:rsidRPr="00BE35BA">
        <w:t>-</w:t>
      </w:r>
      <w:r w:rsidRPr="007F4D16">
        <w:t>0408</w:t>
      </w:r>
      <w:r w:rsidRPr="00BE35BA">
        <w:t>/</w:t>
      </w:r>
      <w:r w:rsidRPr="007F4D16">
        <w:t>2023</w:t>
      </w:r>
      <w:r w:rsidRPr="00BE35BA">
        <w:t xml:space="preserve"> – </w:t>
      </w:r>
      <w:r w:rsidRPr="007F4D16">
        <w:t>2023</w:t>
      </w:r>
      <w:r w:rsidRPr="00BE35BA">
        <w:t>/</w:t>
      </w:r>
      <w:r w:rsidRPr="007F4D16">
        <w:t>0397</w:t>
      </w:r>
      <w:r w:rsidRPr="00BE35BA">
        <w:t>(COD))</w:t>
      </w:r>
      <w:bookmarkEnd w:id="6"/>
    </w:p>
    <w:p w:rsidR="00FF2882" w:rsidRPr="00BE35BA" w:rsidRDefault="00FF2882" w:rsidP="00FF2882"/>
    <w:p w:rsidR="00BA1F0E" w:rsidRPr="00BE35BA" w:rsidRDefault="00BA1F0E" w:rsidP="00BA1F0E">
      <w:pPr>
        <w:pStyle w:val="NormalBold"/>
      </w:pPr>
      <w:bookmarkStart w:id="7" w:name="TextBodyBegin"/>
      <w:bookmarkEnd w:id="7"/>
      <w:r w:rsidRPr="00BE35BA">
        <w:t>(Zwykła procedura ustawodawcza: pierwsze czytanie)</w:t>
      </w:r>
    </w:p>
    <w:p w:rsidR="00BA1F0E" w:rsidRPr="00BE35BA" w:rsidRDefault="00BA1F0E" w:rsidP="00BA1F0E">
      <w:pPr>
        <w:pStyle w:val="EPComma"/>
      </w:pPr>
      <w:r w:rsidRPr="00BE35BA">
        <w:rPr>
          <w:i/>
        </w:rPr>
        <w:t>Parlament Europejski</w:t>
      </w:r>
      <w:r w:rsidRPr="00BE35BA">
        <w:t>,</w:t>
      </w:r>
    </w:p>
    <w:p w:rsidR="00BA1F0E" w:rsidRPr="00BE35BA" w:rsidRDefault="00BA1F0E" w:rsidP="00BA1F0E">
      <w:pPr>
        <w:pStyle w:val="NormalHanging12a"/>
      </w:pPr>
      <w:r w:rsidRPr="00BE35BA">
        <w:t>–</w:t>
      </w:r>
      <w:r w:rsidRPr="00BE35BA">
        <w:tab/>
        <w:t>uwzględniając wniosek Komisji przedstawiony Parlamentowi Europejskiemu i Radzie (COM(</w:t>
      </w:r>
      <w:r w:rsidRPr="007F4D16">
        <w:t>2023</w:t>
      </w:r>
      <w:r w:rsidRPr="00BE35BA">
        <w:t>)</w:t>
      </w:r>
      <w:r w:rsidRPr="007F4D16">
        <w:t>0692</w:t>
      </w:r>
      <w:r w:rsidRPr="00BE35BA">
        <w:t>),</w:t>
      </w:r>
    </w:p>
    <w:p w:rsidR="00BA1F0E" w:rsidRPr="00BE35BA" w:rsidRDefault="00BA1F0E" w:rsidP="00BA1F0E">
      <w:pPr>
        <w:pStyle w:val="NormalHanging12a"/>
      </w:pPr>
      <w:r w:rsidRPr="00BE35BA">
        <w:t>–</w:t>
      </w:r>
      <w:r w:rsidRPr="00BE35BA">
        <w:tab/>
        <w:t xml:space="preserve">uwzględniając art. </w:t>
      </w:r>
      <w:r w:rsidRPr="007F4D16">
        <w:t>294</w:t>
      </w:r>
      <w:r w:rsidRPr="00BE35BA">
        <w:t xml:space="preserve"> ust. </w:t>
      </w:r>
      <w:r w:rsidRPr="007F4D16">
        <w:t>2</w:t>
      </w:r>
      <w:r w:rsidRPr="00BE35BA">
        <w:t xml:space="preserve"> oraz art. </w:t>
      </w:r>
      <w:r w:rsidRPr="007F4D16">
        <w:t>212</w:t>
      </w:r>
      <w:r w:rsidRPr="00BE35BA">
        <w:t xml:space="preserve"> i art. </w:t>
      </w:r>
      <w:r w:rsidRPr="007F4D16">
        <w:t>322</w:t>
      </w:r>
      <w:r w:rsidRPr="00BE35BA">
        <w:t xml:space="preserve"> ust. </w:t>
      </w:r>
      <w:r w:rsidRPr="007F4D16">
        <w:t>1</w:t>
      </w:r>
      <w:r w:rsidRPr="00BE35BA">
        <w:t xml:space="preserve"> Traktatu o funkcjonowaniu Unii Europejskiej, zgodnie z którymi wniosek został przedstawiony Parlamentowi przez Komisję (C</w:t>
      </w:r>
      <w:r w:rsidRPr="007F4D16">
        <w:t>9</w:t>
      </w:r>
      <w:r w:rsidRPr="00BE35BA">
        <w:t>-</w:t>
      </w:r>
      <w:r w:rsidRPr="007F4D16">
        <w:t>0408</w:t>
      </w:r>
      <w:r w:rsidRPr="00BE35BA">
        <w:t>/</w:t>
      </w:r>
      <w:r w:rsidRPr="007F4D16">
        <w:t>2023</w:t>
      </w:r>
      <w:r w:rsidRPr="00BE35BA">
        <w:t>),</w:t>
      </w:r>
    </w:p>
    <w:p w:rsidR="00BA1F0E" w:rsidRPr="00F512E7" w:rsidRDefault="00BA1F0E" w:rsidP="00BA1F0E">
      <w:pPr>
        <w:pStyle w:val="NormalHanging12a"/>
      </w:pPr>
      <w:r w:rsidRPr="00F512E7">
        <w:t>–</w:t>
      </w:r>
      <w:r w:rsidRPr="00F512E7">
        <w:tab/>
        <w:t xml:space="preserve">uwzględniając art. </w:t>
      </w:r>
      <w:r w:rsidRPr="007F4D16">
        <w:t>294</w:t>
      </w:r>
      <w:r w:rsidRPr="00F512E7">
        <w:t xml:space="preserve"> ust. </w:t>
      </w:r>
      <w:r w:rsidRPr="007F4D16">
        <w:t>3</w:t>
      </w:r>
      <w:r w:rsidRPr="00F512E7">
        <w:t xml:space="preserve"> Traktatu o funkcjonowaniu Unii Europejskiej,</w:t>
      </w:r>
    </w:p>
    <w:p w:rsidR="003725DC" w:rsidRPr="00F512E7" w:rsidRDefault="003725DC" w:rsidP="003725DC">
      <w:pPr>
        <w:pStyle w:val="NormalHanging12a"/>
        <w:widowControl/>
      </w:pPr>
      <w:r w:rsidRPr="00F512E7">
        <w:rPr>
          <w:szCs w:val="24"/>
        </w:rPr>
        <w:t>–</w:t>
      </w:r>
      <w:r w:rsidRPr="00F512E7">
        <w:rPr>
          <w:szCs w:val="24"/>
        </w:rPr>
        <w:tab/>
      </w:r>
      <w:r w:rsidRPr="00F512E7">
        <w:t>uwzględniając opinię</w:t>
      </w:r>
      <w:r w:rsidRPr="00F512E7">
        <w:rPr>
          <w:szCs w:val="24"/>
        </w:rPr>
        <w:t xml:space="preserve"> Trybunału Obrachunkowego z dnia </w:t>
      </w:r>
      <w:r w:rsidR="00F512E7" w:rsidRPr="007F4D16">
        <w:rPr>
          <w:szCs w:val="24"/>
        </w:rPr>
        <w:t>30</w:t>
      </w:r>
      <w:r w:rsidR="00F512E7" w:rsidRPr="00F512E7">
        <w:rPr>
          <w:szCs w:val="24"/>
        </w:rPr>
        <w:t xml:space="preserve"> stycznia</w:t>
      </w:r>
      <w:r w:rsidRPr="00F512E7">
        <w:rPr>
          <w:szCs w:val="24"/>
        </w:rPr>
        <w:t xml:space="preserve"> </w:t>
      </w:r>
      <w:r w:rsidRPr="007F4D16">
        <w:rPr>
          <w:szCs w:val="24"/>
        </w:rPr>
        <w:t>20</w:t>
      </w:r>
      <w:r w:rsidR="007F4D16" w:rsidRPr="007F4D16">
        <w:rPr>
          <w:szCs w:val="24"/>
        </w:rPr>
        <w:t>24</w:t>
      </w:r>
      <w:r w:rsidRPr="00F512E7">
        <w:rPr>
          <w:szCs w:val="24"/>
        </w:rPr>
        <w:t xml:space="preserve"> r.</w:t>
      </w:r>
      <w:r w:rsidRPr="00F512E7">
        <w:rPr>
          <w:rStyle w:val="FootnoteReference"/>
          <w:szCs w:val="24"/>
        </w:rPr>
        <w:footnoteReference w:id="1"/>
      </w:r>
      <w:r w:rsidRPr="00F512E7">
        <w:rPr>
          <w:szCs w:val="24"/>
        </w:rPr>
        <w:t>,</w:t>
      </w:r>
    </w:p>
    <w:p w:rsidR="003725DC" w:rsidRPr="00F512E7" w:rsidRDefault="003725DC" w:rsidP="003725DC">
      <w:pPr>
        <w:pStyle w:val="Normal12Hanging"/>
        <w:ind w:left="567" w:hanging="567"/>
      </w:pPr>
      <w:r w:rsidRPr="00F512E7">
        <w:t>–</w:t>
      </w:r>
      <w:r w:rsidRPr="00F512E7">
        <w:tab/>
        <w:t xml:space="preserve">uwzględniając wstępne porozumienie zatwierdzone przez komisje przedmiotowo właściwe na podstawie art. </w:t>
      </w:r>
      <w:r w:rsidRPr="007F4D16">
        <w:t>74</w:t>
      </w:r>
      <w:r w:rsidRPr="00F512E7">
        <w:t xml:space="preserve"> ust. </w:t>
      </w:r>
      <w:r w:rsidRPr="007F4D16">
        <w:t>4</w:t>
      </w:r>
      <w:r w:rsidRPr="00F512E7">
        <w:t xml:space="preserve"> Regulaminu oraz przekazane pismem z dnia </w:t>
      </w:r>
      <w:r w:rsidRPr="007F4D16">
        <w:t>8</w:t>
      </w:r>
      <w:r w:rsidRPr="00F512E7">
        <w:t xml:space="preserve"> kwietnia </w:t>
      </w:r>
      <w:r w:rsidRPr="007F4D16">
        <w:t>2024</w:t>
      </w:r>
      <w:r w:rsidRPr="00F512E7">
        <w:t xml:space="preserve"> r. zobowiązanie przedstawiciela Rady do zatwierdzenia stanowiska Parlamentu, zgodnie z art. </w:t>
      </w:r>
      <w:r w:rsidRPr="007F4D16">
        <w:t>294</w:t>
      </w:r>
      <w:r w:rsidRPr="00F512E7">
        <w:t xml:space="preserve"> ust. </w:t>
      </w:r>
      <w:r w:rsidRPr="007F4D16">
        <w:t>4</w:t>
      </w:r>
      <w:r w:rsidRPr="00F512E7">
        <w:t xml:space="preserve"> Traktatu o funkcjonowaniu Unii Europejskiej,</w:t>
      </w:r>
    </w:p>
    <w:p w:rsidR="00BA1F0E" w:rsidRPr="00F512E7" w:rsidRDefault="00BA1F0E" w:rsidP="00BA1F0E">
      <w:pPr>
        <w:pStyle w:val="NormalHanging12a"/>
      </w:pPr>
      <w:r w:rsidRPr="00F512E7">
        <w:t>–</w:t>
      </w:r>
      <w:r w:rsidRPr="00F512E7">
        <w:tab/>
        <w:t xml:space="preserve">uwzględniając art. </w:t>
      </w:r>
      <w:r w:rsidRPr="007F4D16">
        <w:t>59</w:t>
      </w:r>
      <w:r w:rsidRPr="00F512E7">
        <w:t xml:space="preserve"> Regulaminu,</w:t>
      </w:r>
    </w:p>
    <w:p w:rsidR="003725DC" w:rsidRPr="003725DC" w:rsidRDefault="003725DC" w:rsidP="003725DC">
      <w:pPr>
        <w:pStyle w:val="NormalHanging12a"/>
        <w:widowControl/>
        <w:rPr>
          <w:szCs w:val="24"/>
        </w:rPr>
      </w:pPr>
      <w:r w:rsidRPr="00F512E7">
        <w:rPr>
          <w:szCs w:val="24"/>
        </w:rPr>
        <w:t>–</w:t>
      </w:r>
      <w:r w:rsidRPr="00F512E7">
        <w:rPr>
          <w:szCs w:val="24"/>
        </w:rPr>
        <w:tab/>
      </w:r>
      <w:r w:rsidRPr="00F512E7">
        <w:t xml:space="preserve">uwzględniając wspólne posiedzenia Komisji Spraw Zagranicznych i Komisji Budżetowej zgodnie z art. </w:t>
      </w:r>
      <w:r w:rsidRPr="007F4D16">
        <w:t>58</w:t>
      </w:r>
      <w:r w:rsidRPr="00F512E7">
        <w:t xml:space="preserve"> Regulaminu</w:t>
      </w:r>
      <w:r w:rsidRPr="00F512E7">
        <w:rPr>
          <w:szCs w:val="24"/>
        </w:rPr>
        <w:t>,</w:t>
      </w:r>
    </w:p>
    <w:p w:rsidR="00BA1F0E" w:rsidRPr="00BE35BA" w:rsidRDefault="00BA1F0E" w:rsidP="00BA1F0E">
      <w:pPr>
        <w:pStyle w:val="NormalHanging12a"/>
      </w:pPr>
      <w:r w:rsidRPr="00BE35BA">
        <w:t>–</w:t>
      </w:r>
      <w:r w:rsidRPr="00BE35BA">
        <w:tab/>
        <w:t>uwzględniając opinie przedstawione przez Komisję Handlu Międzynarodowego i Komisję Rozwoju Regionalnego,</w:t>
      </w:r>
    </w:p>
    <w:p w:rsidR="00BA1F0E" w:rsidRPr="00BE35BA" w:rsidRDefault="00BA1F0E" w:rsidP="00BA1F0E">
      <w:pPr>
        <w:pStyle w:val="NormalHanging12a"/>
      </w:pPr>
      <w:r w:rsidRPr="00BE35BA">
        <w:t>–</w:t>
      </w:r>
      <w:r w:rsidRPr="00BE35BA">
        <w:tab/>
        <w:t>uwzględniając pismo Komisji Kontroli Budżetowej,</w:t>
      </w:r>
    </w:p>
    <w:p w:rsidR="00BA1F0E" w:rsidRPr="00BE35BA" w:rsidRDefault="00BA1F0E" w:rsidP="00BA1F0E">
      <w:pPr>
        <w:pStyle w:val="NormalHanging12a"/>
      </w:pPr>
      <w:r w:rsidRPr="00BE35BA">
        <w:t>–</w:t>
      </w:r>
      <w:r w:rsidRPr="00BE35BA">
        <w:tab/>
        <w:t>uwzględniając sprawozdanie Komisji Spraw Zagranicznych i Komisji Budżetowej (A</w:t>
      </w:r>
      <w:r w:rsidRPr="007F4D16">
        <w:t>9</w:t>
      </w:r>
      <w:r w:rsidRPr="00BE35BA">
        <w:t>-</w:t>
      </w:r>
      <w:r w:rsidRPr="007F4D16">
        <w:lastRenderedPageBreak/>
        <w:t>0085</w:t>
      </w:r>
      <w:r w:rsidRPr="00BE35BA">
        <w:t>/</w:t>
      </w:r>
      <w:r w:rsidRPr="007F4D16">
        <w:t>2024</w:t>
      </w:r>
      <w:r w:rsidRPr="00BE35BA">
        <w:t>),</w:t>
      </w:r>
    </w:p>
    <w:p w:rsidR="00BA1F0E" w:rsidRDefault="00BA1F0E" w:rsidP="00BA1F0E">
      <w:pPr>
        <w:pStyle w:val="NormalHanging12a"/>
      </w:pPr>
      <w:r w:rsidRPr="007F4D16">
        <w:t>1</w:t>
      </w:r>
      <w:r w:rsidRPr="00BE35BA">
        <w:t>.</w:t>
      </w:r>
      <w:r w:rsidRPr="00BE35BA">
        <w:tab/>
        <w:t>przyjmuje poniższe stanowisko w pierwszym czytaniu;</w:t>
      </w:r>
    </w:p>
    <w:p w:rsidR="00F512E7" w:rsidRPr="00BE35BA" w:rsidRDefault="00F512E7" w:rsidP="00BA1F0E">
      <w:pPr>
        <w:pStyle w:val="NormalHanging12a"/>
      </w:pPr>
      <w:r w:rsidRPr="007F4D16">
        <w:t>2</w:t>
      </w:r>
      <w:r>
        <w:t>.</w:t>
      </w:r>
      <w:r>
        <w:tab/>
      </w:r>
      <w:r w:rsidRPr="00F512E7">
        <w:t xml:space="preserve">zatwierdza załączone do niniejszej rezolucji wspólne oświadczenie Parlamentu i Rady, które zostanie opublikowane w serii C </w:t>
      </w:r>
      <w:r w:rsidRPr="00F512E7">
        <w:rPr>
          <w:i/>
        </w:rPr>
        <w:t>Dziennika Urzędowego Unii Europejskiej</w:t>
      </w:r>
      <w:r w:rsidRPr="00F512E7">
        <w:t>;</w:t>
      </w:r>
    </w:p>
    <w:p w:rsidR="00BA1F0E" w:rsidRPr="00BE35BA" w:rsidRDefault="00F512E7" w:rsidP="00BA1F0E">
      <w:pPr>
        <w:pStyle w:val="NormalHanging12a"/>
      </w:pPr>
      <w:r w:rsidRPr="007F4D16">
        <w:t>3</w:t>
      </w:r>
      <w:r w:rsidR="00BA1F0E" w:rsidRPr="00BE35BA">
        <w:t>.</w:t>
      </w:r>
      <w:r w:rsidR="00BA1F0E" w:rsidRPr="00BE35BA">
        <w:tab/>
        <w:t>zwraca się do Komisji o ponowne przekazanie mu sprawy, jeśli zastąpi ona pierwotny wniosek, wprowadzi w nim istotne zmiany lub planuje ich wprowadzenie;</w:t>
      </w:r>
    </w:p>
    <w:p w:rsidR="00BA1F0E" w:rsidRPr="00BE35BA" w:rsidRDefault="00F512E7" w:rsidP="00BA1F0E">
      <w:pPr>
        <w:pStyle w:val="NormalHanging12a"/>
      </w:pPr>
      <w:r w:rsidRPr="007F4D16">
        <w:t>4</w:t>
      </w:r>
      <w:r w:rsidR="00BA1F0E" w:rsidRPr="00BE35BA">
        <w:t>.</w:t>
      </w:r>
      <w:r w:rsidR="00BA1F0E" w:rsidRPr="00BE35BA">
        <w:tab/>
        <w:t>zobowiązuje swoją przewodniczącą do przekazania stanowiska Parlamentu Radzie, Komisji i parlamentom narodowym.</w:t>
      </w:r>
    </w:p>
    <w:p w:rsidR="00F512E7" w:rsidRPr="00F512E7" w:rsidRDefault="00F512E7" w:rsidP="00F512E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F512E7" w:rsidRPr="00F512E7" w:rsidSect="00BE35BA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512E7" w:rsidRPr="00F512E7" w:rsidRDefault="00F512E7" w:rsidP="00F512E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512E7">
        <w:rPr>
          <w:rFonts w:eastAsia="Calibri"/>
          <w:b/>
          <w:bCs/>
          <w:color w:val="000000"/>
          <w:szCs w:val="24"/>
        </w:rPr>
        <w:lastRenderedPageBreak/>
        <w:t>P</w:t>
      </w:r>
      <w:r w:rsidRPr="007F4D16">
        <w:rPr>
          <w:rFonts w:eastAsia="Calibri"/>
          <w:b/>
          <w:bCs/>
          <w:color w:val="000000"/>
          <w:szCs w:val="24"/>
        </w:rPr>
        <w:t>9</w:t>
      </w:r>
      <w:r w:rsidRPr="00F512E7">
        <w:rPr>
          <w:rFonts w:eastAsia="Calibri"/>
          <w:b/>
          <w:bCs/>
          <w:color w:val="000000"/>
          <w:szCs w:val="24"/>
        </w:rPr>
        <w:t>_TC</w:t>
      </w:r>
      <w:r w:rsidRPr="007F4D16">
        <w:rPr>
          <w:rFonts w:eastAsia="Calibri"/>
          <w:b/>
          <w:bCs/>
          <w:color w:val="000000"/>
          <w:szCs w:val="24"/>
        </w:rPr>
        <w:t>1</w:t>
      </w:r>
      <w:r w:rsidRPr="00F512E7">
        <w:rPr>
          <w:rFonts w:eastAsia="Calibri"/>
          <w:b/>
          <w:bCs/>
          <w:color w:val="000000"/>
          <w:szCs w:val="24"/>
        </w:rPr>
        <w:t>-COD(</w:t>
      </w:r>
      <w:r w:rsidRPr="007F4D16">
        <w:rPr>
          <w:rFonts w:eastAsia="Calibri"/>
          <w:b/>
          <w:bCs/>
          <w:color w:val="000000"/>
          <w:szCs w:val="24"/>
        </w:rPr>
        <w:t>2023</w:t>
      </w:r>
      <w:r w:rsidRPr="00F512E7">
        <w:rPr>
          <w:rFonts w:eastAsia="Calibri"/>
          <w:b/>
          <w:bCs/>
          <w:color w:val="000000"/>
          <w:szCs w:val="24"/>
        </w:rPr>
        <w:t>)</w:t>
      </w:r>
      <w:r w:rsidRPr="007F4D16">
        <w:rPr>
          <w:rFonts w:eastAsia="Calibri"/>
          <w:b/>
          <w:bCs/>
          <w:color w:val="000000"/>
          <w:szCs w:val="24"/>
        </w:rPr>
        <w:t>0397</w:t>
      </w:r>
    </w:p>
    <w:p w:rsidR="00F512E7" w:rsidRPr="00F512E7" w:rsidRDefault="00F512E7" w:rsidP="00F512E7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7F4D16">
        <w:rPr>
          <w:b/>
        </w:rPr>
        <w:t>24</w:t>
      </w:r>
      <w:r>
        <w:rPr>
          <w:b/>
        </w:rPr>
        <w:t xml:space="preserve"> kwietnia </w:t>
      </w:r>
      <w:r w:rsidRPr="007F4D16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Pr="007F4D16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r w:rsidRPr="00F512E7">
        <w:rPr>
          <w:rFonts w:eastAsia="Calibri"/>
          <w:b/>
          <w:szCs w:val="22"/>
          <w:lang w:eastAsia="en-US"/>
        </w:rPr>
        <w:t>w sprawie ustanowienia Instrumentu Wsparcia Reform i Wzrostu Gospodarczego na Bałkanach Zachodnich</w:t>
      </w:r>
    </w:p>
    <w:p w:rsidR="00F512E7" w:rsidRDefault="00F512E7">
      <w:pPr>
        <w:widowControl/>
        <w:rPr>
          <w:rFonts w:eastAsia="Calibri"/>
          <w:szCs w:val="22"/>
          <w:lang w:eastAsia="en-US"/>
        </w:rPr>
      </w:pPr>
    </w:p>
    <w:p w:rsidR="002B6249" w:rsidRDefault="002B6249">
      <w:pPr>
        <w:widowControl/>
        <w:rPr>
          <w:rFonts w:eastAsia="Calibri"/>
          <w:szCs w:val="22"/>
          <w:lang w:eastAsia="en-US"/>
        </w:rPr>
      </w:pPr>
    </w:p>
    <w:p w:rsidR="002B6249" w:rsidRDefault="002B6249">
      <w:pPr>
        <w:widowControl/>
        <w:rPr>
          <w:rFonts w:eastAsia="Calibri"/>
          <w:szCs w:val="22"/>
          <w:lang w:eastAsia="en-US"/>
        </w:rPr>
        <w:sectPr w:rsidR="002B6249" w:rsidSect="00BE35B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2024/1449</w:t>
      </w:r>
      <w:r>
        <w:rPr>
          <w:i/>
        </w:rPr>
        <w:t>.)</w:t>
      </w:r>
    </w:p>
    <w:p w:rsidR="00F512E7" w:rsidRDefault="00F512E7" w:rsidP="00F512E7">
      <w:pPr>
        <w:widowControl/>
        <w:jc w:val="right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lastRenderedPageBreak/>
        <w:t>ZAŁĄCZNIK DO REZOLUCJI USTAWODAWCZEJ</w:t>
      </w:r>
    </w:p>
    <w:p w:rsidR="00F512E7" w:rsidRDefault="00F512E7" w:rsidP="00F512E7">
      <w:pPr>
        <w:widowControl/>
        <w:jc w:val="right"/>
        <w:rPr>
          <w:rFonts w:eastAsia="Calibri"/>
          <w:szCs w:val="22"/>
          <w:lang w:eastAsia="en-US"/>
        </w:rPr>
      </w:pPr>
    </w:p>
    <w:p w:rsidR="00F512E7" w:rsidRPr="002509BF" w:rsidRDefault="00F512E7" w:rsidP="00F512E7">
      <w:pPr>
        <w:spacing w:line="360" w:lineRule="auto"/>
        <w:jc w:val="center"/>
        <w:rPr>
          <w:b/>
          <w:bCs/>
          <w:szCs w:val="24"/>
        </w:rPr>
      </w:pPr>
      <w:r w:rsidRPr="002509BF">
        <w:rPr>
          <w:b/>
        </w:rPr>
        <w:t>Wspólne oświadczenie Parlamentu Europejskiego i Rady w sprawie odpowiedniej nomenklatury budżetowej odnoszącej się do Instrumentu na rzecz Bałkanów Zachodnich</w:t>
      </w:r>
    </w:p>
    <w:p w:rsidR="00F512E7" w:rsidRPr="00F512E7" w:rsidRDefault="00F512E7" w:rsidP="00F512E7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2509BF">
        <w:t xml:space="preserve">Parlament Europejski i Rada przyjmują do wiadomości oświadczenie Komisji Europejskiej w sprawie sprawozdawczości. Bez uszczerbku dla prerogatyw władzy budżetowej wynikających z Traktatów Parlament Europejski i Rada zamierzają przeprowadzić przegląd nomenklatury odnoszącej się do Instrumentu, na przykład nomenklatury dotyczącej środków przypadających na beneficjenta, aby zapewnić odpowiednią kontrolę polityczną i budżetową. Parlament Europejski i Rada wzywają Komisję Europejską, by podczas przygotowywania projektu budżetu na </w:t>
      </w:r>
      <w:r w:rsidRPr="007F4D16">
        <w:t>2025</w:t>
      </w:r>
      <w:r w:rsidRPr="002509BF">
        <w:t xml:space="preserve"> r. w stosownych przypadkach należycie uwzględniała to oświadczenie</w:t>
      </w:r>
    </w:p>
    <w:p w:rsidR="00F512E7" w:rsidRPr="00F512E7" w:rsidRDefault="00F512E7" w:rsidP="00F512E7">
      <w:pPr>
        <w:keepNext/>
        <w:widowControl/>
        <w:spacing w:before="120" w:after="360" w:line="360" w:lineRule="auto"/>
        <w:jc w:val="center"/>
        <w:rPr>
          <w:rFonts w:eastAsia="Calibri"/>
          <w:b/>
          <w:sz w:val="32"/>
          <w:szCs w:val="22"/>
          <w:lang w:eastAsia="en-US"/>
        </w:rPr>
      </w:pPr>
      <w:bookmarkStart w:id="8" w:name="_GoBack"/>
    </w:p>
    <w:bookmarkEnd w:id="8"/>
    <w:p w:rsidR="00BA1F0E" w:rsidRPr="00F512E7" w:rsidRDefault="00BA1F0E" w:rsidP="00BA1F0E"/>
    <w:sectPr w:rsidR="00BA1F0E" w:rsidRPr="00F512E7" w:rsidSect="00BE35B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882" w:rsidRPr="00BE35BA" w:rsidRDefault="00FF2882">
      <w:r w:rsidRPr="00BE35BA">
        <w:separator/>
      </w:r>
    </w:p>
  </w:endnote>
  <w:endnote w:type="continuationSeparator" w:id="0">
    <w:p w:rsidR="00FF2882" w:rsidRPr="00BE35BA" w:rsidRDefault="00FF2882">
      <w:r w:rsidRPr="00BE35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E7" w:rsidRDefault="00F512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E7" w:rsidRPr="00F512E7" w:rsidRDefault="00F512E7" w:rsidP="00F512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E7" w:rsidRDefault="00F51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882" w:rsidRPr="00BE35BA" w:rsidRDefault="00FF2882">
      <w:r w:rsidRPr="00BE35BA">
        <w:separator/>
      </w:r>
    </w:p>
  </w:footnote>
  <w:footnote w:type="continuationSeparator" w:id="0">
    <w:p w:rsidR="00FF2882" w:rsidRPr="00BE35BA" w:rsidRDefault="00FF2882">
      <w:r w:rsidRPr="00BE35BA">
        <w:continuationSeparator/>
      </w:r>
    </w:p>
  </w:footnote>
  <w:footnote w:id="1">
    <w:p w:rsidR="003725DC" w:rsidRPr="00F512E7" w:rsidRDefault="003725DC" w:rsidP="003725DC">
      <w:pPr>
        <w:pStyle w:val="FootnoteText"/>
        <w:rPr>
          <w:sz w:val="24"/>
          <w:szCs w:val="24"/>
          <w:lang w:val="pl-PL"/>
        </w:rPr>
      </w:pPr>
      <w:r w:rsidRPr="00F512E7">
        <w:rPr>
          <w:rStyle w:val="FootnoteReference"/>
          <w:sz w:val="24"/>
          <w:szCs w:val="24"/>
        </w:rPr>
        <w:footnoteRef/>
      </w:r>
      <w:r w:rsidRPr="00F512E7">
        <w:rPr>
          <w:sz w:val="24"/>
          <w:szCs w:val="24"/>
          <w:lang w:val="pl-PL"/>
        </w:rPr>
        <w:t xml:space="preserve"> </w:t>
      </w:r>
      <w:r w:rsidRPr="00F512E7">
        <w:rPr>
          <w:sz w:val="24"/>
          <w:szCs w:val="24"/>
          <w:lang w:val="pl-PL"/>
        </w:rPr>
        <w:tab/>
      </w:r>
      <w:r w:rsidR="00F512E7" w:rsidRPr="00F512E7">
        <w:rPr>
          <w:sz w:val="24"/>
          <w:szCs w:val="24"/>
          <w:lang w:val="pl-PL"/>
        </w:rPr>
        <w:t>D</w:t>
      </w:r>
      <w:r w:rsidRPr="00F512E7">
        <w:rPr>
          <w:sz w:val="24"/>
          <w:szCs w:val="24"/>
          <w:lang w:val="pl-PL"/>
        </w:rPr>
        <w:t>otychczas nieopublikowana w Dzienniku Urzędowym</w:t>
      </w:r>
      <w:r w:rsidR="00F512E7" w:rsidRPr="00F512E7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E7" w:rsidRDefault="00F512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E7" w:rsidRDefault="00F512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E7" w:rsidRDefault="00F512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PL"/>
    <w:docVar w:name="dvnumam" w:val="0"/>
    <w:docVar w:name="dvpe" w:val="758.888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 Rady w sprawie ustanowienia Instrumentu Wsparcia Reform i Wzrostu Gospodarczego na Bałkanach Zachodnich(COM(2023)0692 – C9-0408/2023 – 2023/0397(COD))"/>
  </w:docVars>
  <w:rsids>
    <w:rsidRoot w:val="00FF2882"/>
    <w:rsid w:val="00002272"/>
    <w:rsid w:val="00064002"/>
    <w:rsid w:val="000677B9"/>
    <w:rsid w:val="000831BA"/>
    <w:rsid w:val="000A42CC"/>
    <w:rsid w:val="000E7DD9"/>
    <w:rsid w:val="0010095E"/>
    <w:rsid w:val="00125B37"/>
    <w:rsid w:val="00177B63"/>
    <w:rsid w:val="00187494"/>
    <w:rsid w:val="001F32AE"/>
    <w:rsid w:val="002767FF"/>
    <w:rsid w:val="002B18FE"/>
    <w:rsid w:val="002B5493"/>
    <w:rsid w:val="002B6249"/>
    <w:rsid w:val="00343214"/>
    <w:rsid w:val="00361C00"/>
    <w:rsid w:val="003725DC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4D16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24FA"/>
    <w:rsid w:val="00BA1F0E"/>
    <w:rsid w:val="00BD48FE"/>
    <w:rsid w:val="00BD7BD8"/>
    <w:rsid w:val="00BE35BA"/>
    <w:rsid w:val="00BE6ADC"/>
    <w:rsid w:val="00BF38CE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2E7"/>
    <w:rsid w:val="00F5134D"/>
    <w:rsid w:val="00F60A42"/>
    <w:rsid w:val="00F74202"/>
    <w:rsid w:val="00F87713"/>
    <w:rsid w:val="00FB4360"/>
    <w:rsid w:val="00FD0C70"/>
    <w:rsid w:val="00FF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47B73"/>
  <w15:chartTrackingRefBased/>
  <w15:docId w15:val="{31258D7C-006B-4E92-A3ED-D185F45B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A1F0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F0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F0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F0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F0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F0E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F0E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BA1F0E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BA1F0E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BA1F0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A1F0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BA1F0E"/>
    <w:pPr>
      <w:spacing w:before="480" w:after="240"/>
    </w:pPr>
  </w:style>
  <w:style w:type="paragraph" w:customStyle="1" w:styleId="TOCPage">
    <w:name w:val="TOC Page"/>
    <w:basedOn w:val="Normal"/>
    <w:next w:val="TOC1"/>
    <w:rsid w:val="00BA1F0E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BA1F0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A1F0E"/>
    <w:rPr>
      <w:b/>
    </w:rPr>
  </w:style>
  <w:style w:type="paragraph" w:customStyle="1" w:styleId="NormalBold12a">
    <w:name w:val="NormalBold12a"/>
    <w:basedOn w:val="Normal"/>
    <w:rsid w:val="00BA1F0E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BA1F0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A1F0E"/>
    <w:pPr>
      <w:spacing w:after="480"/>
      <w:ind w:left="1417"/>
    </w:pPr>
  </w:style>
  <w:style w:type="paragraph" w:customStyle="1" w:styleId="CoverNormal">
    <w:name w:val="CoverNormal"/>
    <w:basedOn w:val="Normal"/>
    <w:rsid w:val="00BA1F0E"/>
    <w:pPr>
      <w:ind w:left="1418"/>
    </w:pPr>
  </w:style>
  <w:style w:type="paragraph" w:customStyle="1" w:styleId="NormalCenter12a">
    <w:name w:val="NormalCenter12a"/>
    <w:basedOn w:val="Normal"/>
    <w:rsid w:val="00BA1F0E"/>
    <w:pPr>
      <w:spacing w:after="240"/>
      <w:jc w:val="center"/>
    </w:pPr>
  </w:style>
  <w:style w:type="paragraph" w:customStyle="1" w:styleId="CoverReference">
    <w:name w:val="CoverReference"/>
    <w:basedOn w:val="Normal"/>
    <w:rsid w:val="00BA1F0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A1F0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A1F0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A1F0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A1F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F0E"/>
    <w:rPr>
      <w:sz w:val="24"/>
      <w:lang w:val="pl-PL"/>
    </w:rPr>
  </w:style>
  <w:style w:type="paragraph" w:customStyle="1" w:styleId="AmNumberTabs">
    <w:name w:val="AmNumberTabs"/>
    <w:basedOn w:val="Normal"/>
    <w:link w:val="AmNumberTabsChar"/>
    <w:rsid w:val="00BA1F0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A1F0E"/>
    <w:pPr>
      <w:spacing w:before="720" w:after="240"/>
      <w:jc w:val="center"/>
    </w:pPr>
  </w:style>
  <w:style w:type="paragraph" w:customStyle="1" w:styleId="EPBody">
    <w:name w:val="EPBody"/>
    <w:basedOn w:val="Normal"/>
    <w:rsid w:val="00BA1F0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A1F0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BA1F0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A1F0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A1F0E"/>
    <w:rPr>
      <w:sz w:val="18"/>
    </w:rPr>
  </w:style>
  <w:style w:type="character" w:styleId="Hyperlink">
    <w:name w:val="Hyperlink"/>
    <w:unhideWhenUsed/>
    <w:rsid w:val="00BA1F0E"/>
    <w:rPr>
      <w:color w:val="0000FF"/>
      <w:u w:val="single"/>
    </w:rPr>
  </w:style>
  <w:style w:type="paragraph" w:customStyle="1" w:styleId="Text1">
    <w:name w:val="Text 1"/>
    <w:basedOn w:val="Normal"/>
    <w:rsid w:val="00BA1F0E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A1F0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A1F0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A1F0E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A1F0E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A1F0E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BA1F0E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A1F0E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A1F0E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A1F0E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BA1F0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A1F0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A1F0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A1F0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BA1F0E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BA1F0E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BA1F0E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BA1F0E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BA1F0E"/>
    <w:rPr>
      <w:color w:val="008000"/>
    </w:rPr>
  </w:style>
  <w:style w:type="character" w:customStyle="1" w:styleId="italic1">
    <w:name w:val="italic1"/>
    <w:basedOn w:val="DefaultParagraphFont"/>
    <w:rsid w:val="00BA1F0E"/>
    <w:rPr>
      <w:i/>
      <w:iCs/>
    </w:rPr>
  </w:style>
  <w:style w:type="paragraph" w:styleId="BalloonText">
    <w:name w:val="Balloon Text"/>
    <w:basedOn w:val="Normal"/>
    <w:link w:val="BalloonTextChar"/>
    <w:uiPriority w:val="99"/>
    <w:unhideWhenUsed/>
    <w:rsid w:val="00BA1F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A1F0E"/>
    <w:rPr>
      <w:rFonts w:ascii="Segoe UI" w:hAnsi="Segoe UI" w:cs="Segoe UI"/>
      <w:sz w:val="18"/>
      <w:szCs w:val="18"/>
      <w:lang w:val="pl-PL"/>
    </w:rPr>
  </w:style>
  <w:style w:type="paragraph" w:styleId="ListParagraph">
    <w:name w:val="List Paragraph"/>
    <w:basedOn w:val="Normal"/>
    <w:uiPriority w:val="34"/>
    <w:qFormat/>
    <w:rsid w:val="00BA1F0E"/>
    <w:pPr>
      <w:ind w:left="720"/>
      <w:contextualSpacing/>
    </w:pPr>
  </w:style>
  <w:style w:type="paragraph" w:customStyle="1" w:styleId="Normal12a">
    <w:name w:val="Normal12a"/>
    <w:basedOn w:val="Normal"/>
    <w:rsid w:val="00BA1F0E"/>
    <w:pPr>
      <w:spacing w:after="240"/>
    </w:pPr>
  </w:style>
  <w:style w:type="paragraph" w:customStyle="1" w:styleId="Normal6a">
    <w:name w:val="Normal6a"/>
    <w:basedOn w:val="Normal"/>
    <w:rsid w:val="00BA1F0E"/>
    <w:pPr>
      <w:spacing w:after="120"/>
    </w:pPr>
  </w:style>
  <w:style w:type="paragraph" w:customStyle="1" w:styleId="PageHeadingNotTOC">
    <w:name w:val="PageHeadingNotTOC"/>
    <w:basedOn w:val="Normal"/>
    <w:rsid w:val="00BA1F0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A1F0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AmColumnHeading">
    <w:name w:val="AmColumnHeading"/>
    <w:basedOn w:val="Normal"/>
    <w:rsid w:val="00BA1F0E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BA1F0E"/>
    <w:pPr>
      <w:spacing w:before="240"/>
    </w:pPr>
    <w:rPr>
      <w:b/>
    </w:rPr>
  </w:style>
  <w:style w:type="character" w:customStyle="1" w:styleId="Normal6Char">
    <w:name w:val="Normal6 Char"/>
    <w:basedOn w:val="DefaultParagraphFont"/>
    <w:link w:val="Normal6"/>
    <w:locked/>
    <w:rsid w:val="00BA1F0E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BA1F0E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BA1F0E"/>
    <w:rPr>
      <w:b/>
      <w:sz w:val="24"/>
      <w:lang w:val="pl-PL"/>
    </w:rPr>
  </w:style>
  <w:style w:type="paragraph" w:customStyle="1" w:styleId="ColumnHeading">
    <w:name w:val="ColumnHeading"/>
    <w:basedOn w:val="Normal"/>
    <w:rsid w:val="00BA1F0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A1F0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BA1F0E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rsid w:val="00BA1F0E"/>
    <w:rPr>
      <w:b/>
      <w:sz w:val="24"/>
      <w:lang w:val="pl-PL"/>
    </w:rPr>
  </w:style>
  <w:style w:type="paragraph" w:customStyle="1" w:styleId="Normal24a">
    <w:name w:val="Normal24a"/>
    <w:basedOn w:val="Normal"/>
    <w:rsid w:val="00BA1F0E"/>
    <w:pPr>
      <w:spacing w:after="480"/>
    </w:pPr>
  </w:style>
  <w:style w:type="paragraph" w:customStyle="1" w:styleId="RollCallSymbols14pt">
    <w:name w:val="RollCallSymbols14pt"/>
    <w:basedOn w:val="Normal"/>
    <w:rsid w:val="00BA1F0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BA1F0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BA1F0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BA1F0E"/>
    <w:pPr>
      <w:spacing w:before="120" w:after="120"/>
    </w:pPr>
    <w:rPr>
      <w:snapToGrid w:val="0"/>
      <w:sz w:val="16"/>
      <w:lang w:eastAsia="en-US"/>
    </w:rPr>
  </w:style>
  <w:style w:type="paragraph" w:customStyle="1" w:styleId="AmJustText">
    <w:name w:val="AmJustText"/>
    <w:basedOn w:val="Normal"/>
    <w:rsid w:val="00BA1F0E"/>
    <w:pPr>
      <w:spacing w:after="240"/>
    </w:pPr>
    <w:rPr>
      <w:i/>
    </w:rPr>
  </w:style>
  <w:style w:type="paragraph" w:customStyle="1" w:styleId="AmCrossRef">
    <w:name w:val="AmCrossRef"/>
    <w:basedOn w:val="Normal"/>
    <w:rsid w:val="00BA1F0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A1F0E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BA1F0E"/>
    <w:pPr>
      <w:spacing w:before="240" w:after="240"/>
      <w:jc w:val="right"/>
    </w:pPr>
  </w:style>
  <w:style w:type="paragraph" w:customStyle="1" w:styleId="LetterSalutation">
    <w:name w:val="LetterSalutation"/>
    <w:basedOn w:val="Normal"/>
    <w:rsid w:val="00BA1F0E"/>
    <w:pPr>
      <w:spacing w:before="600" w:after="360"/>
    </w:pPr>
  </w:style>
  <w:style w:type="paragraph" w:customStyle="1" w:styleId="NormalBoldCenter">
    <w:name w:val="NormalBoldCenter"/>
    <w:basedOn w:val="Normal"/>
    <w:rsid w:val="00BA1F0E"/>
    <w:pPr>
      <w:jc w:val="center"/>
    </w:pPr>
    <w:rPr>
      <w:b/>
    </w:rPr>
  </w:style>
  <w:style w:type="paragraph" w:customStyle="1" w:styleId="LetterSubject">
    <w:name w:val="LetterSubject"/>
    <w:basedOn w:val="Normal"/>
    <w:rsid w:val="00BA1F0E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BA1F0E"/>
    <w:pPr>
      <w:spacing w:before="1320"/>
    </w:pPr>
  </w:style>
  <w:style w:type="paragraph" w:customStyle="1" w:styleId="Normal12">
    <w:name w:val="Normal12"/>
    <w:basedOn w:val="Normal"/>
    <w:link w:val="Normal12Char"/>
    <w:qFormat/>
    <w:rsid w:val="00BA1F0E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BA1F0E"/>
    <w:rPr>
      <w:rFonts w:ascii="Arial" w:hAnsi="Arial" w:cs="Arial"/>
      <w:b/>
      <w:sz w:val="24"/>
      <w:lang w:val="pl-PL"/>
    </w:rPr>
  </w:style>
  <w:style w:type="character" w:customStyle="1" w:styleId="Normal12Char">
    <w:name w:val="Normal12 Char"/>
    <w:basedOn w:val="PageHeadingChar"/>
    <w:link w:val="Normal12"/>
    <w:rsid w:val="00BA1F0E"/>
    <w:rPr>
      <w:rFonts w:ascii="Arial" w:hAnsi="Arial" w:cs="Arial"/>
      <w:b w:val="0"/>
      <w:sz w:val="24"/>
      <w:lang w:val="pl-PL"/>
    </w:rPr>
  </w:style>
  <w:style w:type="paragraph" w:styleId="Footer">
    <w:name w:val="footer"/>
    <w:basedOn w:val="Normal"/>
    <w:link w:val="FooterChar"/>
    <w:uiPriority w:val="99"/>
    <w:rsid w:val="00BA1F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F0E"/>
    <w:rPr>
      <w:sz w:val="24"/>
      <w:lang w:val="pl-PL"/>
    </w:rPr>
  </w:style>
  <w:style w:type="character" w:styleId="CommentReference">
    <w:name w:val="annotation reference"/>
    <w:basedOn w:val="DefaultParagraphFont"/>
    <w:uiPriority w:val="99"/>
    <w:rsid w:val="00BA1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1F0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1F0E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1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A1F0E"/>
    <w:rPr>
      <w:b/>
      <w:bCs/>
      <w:lang w:val="pl-PL"/>
    </w:rPr>
  </w:style>
  <w:style w:type="character" w:styleId="Emphasis">
    <w:name w:val="Emphasis"/>
    <w:basedOn w:val="DefaultParagraphFont"/>
    <w:uiPriority w:val="20"/>
    <w:qFormat/>
    <w:rsid w:val="00BA1F0E"/>
    <w:rPr>
      <w:i/>
      <w:iCs/>
    </w:rPr>
  </w:style>
  <w:style w:type="paragraph" w:customStyle="1" w:styleId="Normal12Hanging">
    <w:name w:val="Normal12Hanging"/>
    <w:basedOn w:val="Normal"/>
    <w:link w:val="Normal12HangingChar"/>
    <w:rsid w:val="003725DC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3725DC"/>
    <w:rPr>
      <w:snapToGrid w:val="0"/>
      <w:sz w:val="24"/>
      <w:lang w:val="pl-PL"/>
    </w:rPr>
  </w:style>
  <w:style w:type="paragraph" w:customStyle="1" w:styleId="AmDocTypeTab">
    <w:name w:val="AmDocTypeTab"/>
    <w:basedOn w:val="Normal"/>
    <w:rsid w:val="00F512E7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F512E7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F512E7"/>
  </w:style>
  <w:style w:type="paragraph" w:styleId="TOC4">
    <w:name w:val="toc 4"/>
    <w:basedOn w:val="Normal"/>
    <w:next w:val="Normal"/>
    <w:uiPriority w:val="39"/>
    <w:unhideWhenUsed/>
    <w:rsid w:val="00F512E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512E7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512E7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512E7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512E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512E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512E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512E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F512E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512E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F512E7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F512E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F512E7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F512E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512E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512E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512E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512E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F512E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512E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512E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512E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512E7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512E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512E7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512E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512E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512E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512E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512E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512E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512E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512E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512E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512E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512E7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512E7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512E7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512E7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512E7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512E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512E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512E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512E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512E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512E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512E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F512E7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F512E7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F512E7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F512E7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F512E7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F512E7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512E7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512E7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512E7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512E7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512E7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512E7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512E7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512E7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512E7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512E7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512E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512E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512E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512E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512E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512E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512E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512E7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512E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512E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512E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512E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512E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512E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512E7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512E7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512E7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F512E7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512E7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512E7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512E7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512E7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512E7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512E7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512E7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512E7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512E7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512E7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512E7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512E7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512E7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512E7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512E7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512E7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512E7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512E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512E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F512E7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512E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512E7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F512E7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512E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512E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512E7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512E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512E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512E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512E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512E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512E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512E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512E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512E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512E7"/>
    <w:pPr>
      <w:spacing w:before="240"/>
    </w:pPr>
  </w:style>
  <w:style w:type="paragraph" w:customStyle="1" w:styleId="Accordtitre">
    <w:name w:val="Accord titre"/>
    <w:basedOn w:val="Normal"/>
    <w:rsid w:val="00F512E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512E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512E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512E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512E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512E7"/>
    <w:pPr>
      <w:spacing w:after="240"/>
    </w:pPr>
  </w:style>
  <w:style w:type="paragraph" w:customStyle="1" w:styleId="Annexetitre">
    <w:name w:val="Annexe titre"/>
    <w:basedOn w:val="Normal"/>
    <w:next w:val="Normal"/>
    <w:rsid w:val="00F512E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512E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512E7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512E7"/>
    <w:rPr>
      <w:rFonts w:eastAsia="Calibri"/>
      <w:lang w:val="pl-PL" w:eastAsia="en-US"/>
    </w:rPr>
  </w:style>
  <w:style w:type="character" w:styleId="EndnoteReference">
    <w:name w:val="endnote reference"/>
    <w:basedOn w:val="DefaultParagraphFont"/>
    <w:uiPriority w:val="99"/>
    <w:unhideWhenUsed/>
    <w:rsid w:val="00F512E7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512E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512E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512E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512E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512E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512E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512E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512E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512E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512E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512E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512E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512E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512E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512E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512E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512E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512E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512E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512E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512E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512E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512E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512E7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512E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512E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F512E7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l-PL" w:eastAsia="en-US"/>
    </w:rPr>
  </w:style>
  <w:style w:type="paragraph" w:customStyle="1" w:styleId="CommentFwdQuotedText">
    <w:name w:val="CommentFwdQuotedText"/>
    <w:basedOn w:val="Normal"/>
    <w:rsid w:val="00F512E7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512E7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F512E7"/>
    <w:rPr>
      <w:b/>
      <w:i/>
    </w:rPr>
  </w:style>
  <w:style w:type="character" w:customStyle="1" w:styleId="diff-tte-removed">
    <w:name w:val="diff-tte-removed"/>
    <w:basedOn w:val="DefaultParagraphFont"/>
    <w:rsid w:val="00F512E7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F512E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F512E7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F512E7"/>
    <w:rPr>
      <w:rFonts w:eastAsia="Calibri"/>
      <w:sz w:val="24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BA77B-BAFA-4688-97E1-55AFB5C6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414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2024-09-23T06:40:00Z</dcterms:created>
  <dcterms:modified xsi:type="dcterms:W3CDTF">2024-09-23T06:40:00Z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