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A336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A336D" w:rsidRDefault="00237CB0" w:rsidP="0010095E">
            <w:pPr>
              <w:pStyle w:val="EPName"/>
            </w:pPr>
            <w:r w:rsidRPr="00BA336D">
              <w:t>Parlament Ewropew</w:t>
            </w:r>
          </w:p>
          <w:p w:rsidR="00751A4A" w:rsidRPr="00BA336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13B4D">
              <w:t>2019</w:t>
            </w:r>
            <w:r w:rsidRPr="00BA336D">
              <w:t>-</w:t>
            </w:r>
            <w:r w:rsidRPr="00113B4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A336D" w:rsidRDefault="00187494" w:rsidP="0010095E">
            <w:pPr>
              <w:pStyle w:val="EPLogo"/>
            </w:pPr>
            <w:r w:rsidRPr="00BA336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A336D" w:rsidRDefault="00D058B8" w:rsidP="004C5D52">
      <w:pPr>
        <w:pStyle w:val="LineTop"/>
      </w:pPr>
    </w:p>
    <w:p w:rsidR="00680577" w:rsidRPr="00BA336D" w:rsidRDefault="00237CB0" w:rsidP="00680577">
      <w:pPr>
        <w:pStyle w:val="EPBodyTA1"/>
      </w:pPr>
      <w:r w:rsidRPr="00BA336D">
        <w:t>TESTI ADOTTATI</w:t>
      </w:r>
    </w:p>
    <w:p w:rsidR="00D058B8" w:rsidRPr="00BA336D" w:rsidRDefault="00D058B8" w:rsidP="00D058B8">
      <w:pPr>
        <w:pStyle w:val="LineBottom"/>
      </w:pPr>
    </w:p>
    <w:p w:rsidR="00237CB0" w:rsidRPr="00BA336D" w:rsidRDefault="00237CB0" w:rsidP="00237CB0">
      <w:pPr>
        <w:pStyle w:val="ATHeading1"/>
      </w:pPr>
      <w:bookmarkStart w:id="0" w:name="TANumber"/>
      <w:r w:rsidRPr="00BA336D">
        <w:t>P</w:t>
      </w:r>
      <w:r w:rsidRPr="00113B4D">
        <w:t>9</w:t>
      </w:r>
      <w:r w:rsidRPr="00BA336D">
        <w:t>_TA(</w:t>
      </w:r>
      <w:r w:rsidRPr="00113B4D">
        <w:t>2024</w:t>
      </w:r>
      <w:r w:rsidRPr="00BA336D">
        <w:t>)</w:t>
      </w:r>
      <w:r w:rsidRPr="00113B4D">
        <w:t>0</w:t>
      </w:r>
      <w:r w:rsidR="00BA336D" w:rsidRPr="00113B4D">
        <w:t>343</w:t>
      </w:r>
      <w:bookmarkEnd w:id="0"/>
    </w:p>
    <w:p w:rsidR="00237CB0" w:rsidRPr="00BA336D" w:rsidRDefault="00237CB0" w:rsidP="00237CB0">
      <w:pPr>
        <w:pStyle w:val="ATHeading2"/>
      </w:pPr>
      <w:bookmarkStart w:id="1" w:name="title"/>
      <w:r w:rsidRPr="00BA336D">
        <w:t>L-istabbiliment tal-Faċilità għar-Riforma u t-Tkabbir għall-Balkani tal-Punent</w:t>
      </w:r>
      <w:bookmarkEnd w:id="1"/>
    </w:p>
    <w:p w:rsidR="00237CB0" w:rsidRPr="00BA336D" w:rsidRDefault="00237CB0" w:rsidP="00237CB0">
      <w:pPr>
        <w:rPr>
          <w:i/>
          <w:vanish/>
        </w:rPr>
      </w:pPr>
      <w:r w:rsidRPr="00BA336D">
        <w:rPr>
          <w:i/>
        </w:rPr>
        <w:fldChar w:fldCharType="begin"/>
      </w:r>
      <w:r w:rsidRPr="00BA336D">
        <w:rPr>
          <w:i/>
        </w:rPr>
        <w:instrText xml:space="preserve"> TC"(</w:instrText>
      </w:r>
      <w:bookmarkStart w:id="2" w:name="DocNumber"/>
      <w:r w:rsidRPr="00BA336D">
        <w:rPr>
          <w:i/>
        </w:rPr>
        <w:instrText>A</w:instrText>
      </w:r>
      <w:r w:rsidRPr="00113B4D">
        <w:rPr>
          <w:i/>
        </w:rPr>
        <w:instrText>9</w:instrText>
      </w:r>
      <w:r w:rsidRPr="00BA336D">
        <w:rPr>
          <w:i/>
        </w:rPr>
        <w:instrText>-</w:instrText>
      </w:r>
      <w:r w:rsidRPr="00113B4D">
        <w:rPr>
          <w:i/>
        </w:rPr>
        <w:instrText>0085</w:instrText>
      </w:r>
      <w:r w:rsidRPr="00BA336D">
        <w:rPr>
          <w:i/>
        </w:rPr>
        <w:instrText>/</w:instrText>
      </w:r>
      <w:r w:rsidRPr="00113B4D">
        <w:rPr>
          <w:i/>
        </w:rPr>
        <w:instrText>2024</w:instrText>
      </w:r>
      <w:bookmarkEnd w:id="2"/>
      <w:r w:rsidRPr="00BA336D">
        <w:rPr>
          <w:i/>
        </w:rPr>
        <w:instrText xml:space="preserve"> - Rapporteur</w:instrText>
      </w:r>
      <w:r w:rsidR="0080227E" w:rsidRPr="00BA336D">
        <w:rPr>
          <w:i/>
        </w:rPr>
        <w:instrText>s</w:instrText>
      </w:r>
      <w:r w:rsidRPr="00BA336D">
        <w:rPr>
          <w:i/>
        </w:rPr>
        <w:instrText>: Tonino Picula, Karlo Ressler)"\l</w:instrText>
      </w:r>
      <w:r w:rsidRPr="00113B4D">
        <w:rPr>
          <w:i/>
        </w:rPr>
        <w:instrText>3</w:instrText>
      </w:r>
      <w:r w:rsidRPr="00BA336D">
        <w:rPr>
          <w:i/>
        </w:rPr>
        <w:instrText xml:space="preserve"> \n&gt; \* MERGEFORMAT </w:instrText>
      </w:r>
      <w:r w:rsidRPr="00BA336D">
        <w:rPr>
          <w:i/>
        </w:rPr>
        <w:fldChar w:fldCharType="end"/>
      </w:r>
    </w:p>
    <w:p w:rsidR="00237CB0" w:rsidRPr="00BA336D" w:rsidRDefault="00237CB0" w:rsidP="00237CB0">
      <w:pPr>
        <w:rPr>
          <w:vanish/>
        </w:rPr>
      </w:pPr>
      <w:bookmarkStart w:id="3" w:name="Commission"/>
      <w:r w:rsidRPr="00BA336D">
        <w:rPr>
          <w:vanish/>
        </w:rPr>
        <w:t>Kumitat għall-Affarijiet Barranin</w:t>
      </w:r>
      <w:r w:rsidR="005E7EF5" w:rsidRPr="00BA336D">
        <w:rPr>
          <w:vanish/>
        </w:rPr>
        <w:t>,</w:t>
      </w:r>
      <w:r w:rsidR="0080227E" w:rsidRPr="00BA336D">
        <w:rPr>
          <w:vanish/>
        </w:rPr>
        <w:t xml:space="preserve"> </w:t>
      </w:r>
      <w:r w:rsidRPr="00BA336D">
        <w:rPr>
          <w:vanish/>
        </w:rPr>
        <w:t>Kumitat għall-Baġits</w:t>
      </w:r>
      <w:bookmarkEnd w:id="3"/>
    </w:p>
    <w:p w:rsidR="00237CB0" w:rsidRPr="00BA336D" w:rsidRDefault="00237CB0" w:rsidP="00237CB0">
      <w:pPr>
        <w:rPr>
          <w:vanish/>
        </w:rPr>
      </w:pPr>
      <w:bookmarkStart w:id="4" w:name="PE"/>
      <w:r w:rsidRPr="00BA336D">
        <w:rPr>
          <w:vanish/>
        </w:rPr>
        <w:t>PE</w:t>
      </w:r>
      <w:r w:rsidRPr="00113B4D">
        <w:rPr>
          <w:vanish/>
        </w:rPr>
        <w:t>758</w:t>
      </w:r>
      <w:r w:rsidRPr="00BA336D">
        <w:rPr>
          <w:vanish/>
        </w:rPr>
        <w:t>.</w:t>
      </w:r>
      <w:r w:rsidRPr="00113B4D">
        <w:rPr>
          <w:vanish/>
        </w:rPr>
        <w:t>888</w:t>
      </w:r>
      <w:bookmarkEnd w:id="4"/>
    </w:p>
    <w:p w:rsidR="00237CB0" w:rsidRPr="00BA336D" w:rsidRDefault="00237CB0" w:rsidP="00237CB0">
      <w:pPr>
        <w:pStyle w:val="ATHeading3"/>
      </w:pPr>
      <w:bookmarkStart w:id="5" w:name="Sujet"/>
      <w:r w:rsidRPr="00BA336D">
        <w:t>Riżoluzzjoni leġiżlattiva tal-Parlament Ewropew tal-</w:t>
      </w:r>
      <w:r w:rsidRPr="00113B4D">
        <w:t>24</w:t>
      </w:r>
      <w:r w:rsidRPr="00BA336D">
        <w:t xml:space="preserve"> ta' April </w:t>
      </w:r>
      <w:r w:rsidRPr="00113B4D">
        <w:t>2024</w:t>
      </w:r>
      <w:r w:rsidRPr="00BA336D">
        <w:t xml:space="preserve"> dwar il-proposta għal Regolament tal-Parlament Ewropew u tal-Kunsill dwar l-istabbiliment tal-Faċilità għar-Riforma u t-Tkabbir għall-Balkani tal-Punent</w:t>
      </w:r>
      <w:bookmarkEnd w:id="5"/>
      <w:r w:rsidRPr="00BA336D">
        <w:t xml:space="preserve"> </w:t>
      </w:r>
      <w:bookmarkStart w:id="6" w:name="References"/>
      <w:r w:rsidRPr="00BA336D">
        <w:t>(COM(</w:t>
      </w:r>
      <w:r w:rsidRPr="00113B4D">
        <w:t>2023</w:t>
      </w:r>
      <w:r w:rsidRPr="00BA336D">
        <w:t>)</w:t>
      </w:r>
      <w:r w:rsidRPr="00113B4D">
        <w:t>0692</w:t>
      </w:r>
      <w:r w:rsidRPr="00BA336D">
        <w:t xml:space="preserve"> – C</w:t>
      </w:r>
      <w:r w:rsidRPr="00113B4D">
        <w:t>9</w:t>
      </w:r>
      <w:r w:rsidRPr="00BA336D">
        <w:t>-</w:t>
      </w:r>
      <w:r w:rsidRPr="00113B4D">
        <w:t>0408</w:t>
      </w:r>
      <w:r w:rsidRPr="00BA336D">
        <w:t>/</w:t>
      </w:r>
      <w:r w:rsidRPr="00113B4D">
        <w:t>2023</w:t>
      </w:r>
      <w:r w:rsidRPr="00BA336D">
        <w:t xml:space="preserve"> – </w:t>
      </w:r>
      <w:r w:rsidRPr="00113B4D">
        <w:t>2023</w:t>
      </w:r>
      <w:r w:rsidRPr="00BA336D">
        <w:t>/</w:t>
      </w:r>
      <w:r w:rsidRPr="00113B4D">
        <w:t>0397</w:t>
      </w:r>
      <w:r w:rsidRPr="00BA336D">
        <w:t>(COD))</w:t>
      </w:r>
      <w:bookmarkEnd w:id="6"/>
    </w:p>
    <w:p w:rsidR="00237CB0" w:rsidRPr="00BA336D" w:rsidRDefault="00237CB0" w:rsidP="00237CB0"/>
    <w:p w:rsidR="00D918F4" w:rsidRPr="00BA336D" w:rsidRDefault="00D918F4" w:rsidP="00D918F4">
      <w:pPr>
        <w:pStyle w:val="NormalBold"/>
      </w:pPr>
      <w:bookmarkStart w:id="7" w:name="TextBodyBegin"/>
      <w:bookmarkEnd w:id="7"/>
      <w:r w:rsidRPr="00BA336D">
        <w:t>(Proċedura leġiżlattiva ordinarja: l-ewwel qari)</w:t>
      </w:r>
    </w:p>
    <w:p w:rsidR="00D918F4" w:rsidRPr="00BA336D" w:rsidRDefault="00D918F4" w:rsidP="00D918F4">
      <w:pPr>
        <w:pStyle w:val="EPComma"/>
      </w:pPr>
      <w:r w:rsidRPr="00BA336D">
        <w:rPr>
          <w:i/>
        </w:rPr>
        <w:t>Il-Parlament Ewropew</w:t>
      </w:r>
      <w:r w:rsidRPr="00BA336D">
        <w:t>,</w:t>
      </w:r>
    </w:p>
    <w:p w:rsidR="00D918F4" w:rsidRPr="00BA336D" w:rsidRDefault="00D918F4" w:rsidP="00D918F4">
      <w:pPr>
        <w:pStyle w:val="NormalHanging12a"/>
      </w:pPr>
      <w:r w:rsidRPr="00BA336D">
        <w:t>–</w:t>
      </w:r>
      <w:r w:rsidRPr="00BA336D">
        <w:tab/>
        <w:t>wara li kkunsidra l-proposta tal-Kummissjoni lill-Parlament Ewropew u lill-Kunsill (COM(</w:t>
      </w:r>
      <w:r w:rsidRPr="00113B4D">
        <w:t>2023</w:t>
      </w:r>
      <w:r w:rsidRPr="00BA336D">
        <w:t>)</w:t>
      </w:r>
      <w:r w:rsidRPr="00113B4D">
        <w:t>0692</w:t>
      </w:r>
      <w:r w:rsidRPr="00BA336D">
        <w:t>),</w:t>
      </w:r>
    </w:p>
    <w:p w:rsidR="00D918F4" w:rsidRPr="00BA336D" w:rsidRDefault="00D918F4" w:rsidP="00D918F4">
      <w:pPr>
        <w:pStyle w:val="NormalHanging12a"/>
      </w:pPr>
      <w:r w:rsidRPr="00BA336D">
        <w:t>–</w:t>
      </w:r>
      <w:r w:rsidRPr="00BA336D">
        <w:tab/>
        <w:t>wara li kkunsidra l-Artikolu </w:t>
      </w:r>
      <w:r w:rsidRPr="00113B4D">
        <w:t>294</w:t>
      </w:r>
      <w:r w:rsidRPr="00BA336D">
        <w:t>(</w:t>
      </w:r>
      <w:r w:rsidRPr="00113B4D">
        <w:t>2</w:t>
      </w:r>
      <w:r w:rsidRPr="00BA336D">
        <w:t>) u l-Artikoli </w:t>
      </w:r>
      <w:r w:rsidRPr="00113B4D">
        <w:t>212</w:t>
      </w:r>
      <w:r w:rsidRPr="00BA336D">
        <w:t xml:space="preserve"> u </w:t>
      </w:r>
      <w:r w:rsidRPr="00113B4D">
        <w:t>322</w:t>
      </w:r>
      <w:r w:rsidRPr="00BA336D">
        <w:t>(</w:t>
      </w:r>
      <w:r w:rsidRPr="00113B4D">
        <w:t>1</w:t>
      </w:r>
      <w:r w:rsidRPr="00BA336D">
        <w:t>) tat-Trattat dwar il-Funzjonament tal-Unjoni Ewropea, skont liema artikoli l-Kummissjoni ppreżentat il-proposta lill-Parlament (C</w:t>
      </w:r>
      <w:r w:rsidRPr="00113B4D">
        <w:t>9</w:t>
      </w:r>
      <w:r w:rsidRPr="00BA336D">
        <w:noBreakHyphen/>
      </w:r>
      <w:r w:rsidRPr="00113B4D">
        <w:t>0408</w:t>
      </w:r>
      <w:r w:rsidRPr="00BA336D">
        <w:t>/</w:t>
      </w:r>
      <w:r w:rsidRPr="00113B4D">
        <w:t>2023</w:t>
      </w:r>
      <w:r w:rsidRPr="00BA336D">
        <w:t>),</w:t>
      </w:r>
    </w:p>
    <w:p w:rsidR="00D918F4" w:rsidRPr="00BA336D" w:rsidRDefault="00D918F4" w:rsidP="00D918F4">
      <w:pPr>
        <w:pStyle w:val="NormalHanging12a"/>
      </w:pPr>
      <w:r w:rsidRPr="00BA336D">
        <w:t>–</w:t>
      </w:r>
      <w:r w:rsidRPr="00BA336D">
        <w:tab/>
        <w:t xml:space="preserve">wara li kkunsidra l-Artikolu </w:t>
      </w:r>
      <w:r w:rsidRPr="00113B4D">
        <w:t>294</w:t>
      </w:r>
      <w:r w:rsidRPr="00BA336D">
        <w:t>(</w:t>
      </w:r>
      <w:r w:rsidRPr="00113B4D">
        <w:t>3</w:t>
      </w:r>
      <w:r w:rsidRPr="00BA336D">
        <w:t>) tat-Trattat dwar il-Funzjonament tal-Unjoni Ewropea,</w:t>
      </w:r>
    </w:p>
    <w:p w:rsidR="0080227E" w:rsidRPr="00BA336D" w:rsidRDefault="0080227E" w:rsidP="00D918F4">
      <w:pPr>
        <w:pStyle w:val="NormalHanging12a"/>
      </w:pPr>
      <w:r w:rsidRPr="00BA336D">
        <w:t>–</w:t>
      </w:r>
      <w:r w:rsidRPr="00BA336D">
        <w:tab/>
        <w:t>wara li kkunsidra l-opinjoni tal-Qorti tal-Awdituri t</w:t>
      </w:r>
      <w:r w:rsidR="00236752" w:rsidRPr="00BA336D">
        <w:t>at-</w:t>
      </w:r>
      <w:r w:rsidR="00236752" w:rsidRPr="00113B4D">
        <w:t>30</w:t>
      </w:r>
      <w:r w:rsidR="00236752" w:rsidRPr="00BA336D">
        <w:t xml:space="preserve"> ta’ Jannar </w:t>
      </w:r>
      <w:r w:rsidR="00236752" w:rsidRPr="00113B4D">
        <w:t>2024</w:t>
      </w:r>
      <w:r w:rsidRPr="00BA336D">
        <w:rPr>
          <w:rStyle w:val="FootnoteReference"/>
        </w:rPr>
        <w:footnoteReference w:id="1"/>
      </w:r>
      <w:r w:rsidR="00813718" w:rsidRPr="00BA336D">
        <w:t>,</w:t>
      </w:r>
    </w:p>
    <w:p w:rsidR="0080227E" w:rsidRPr="00BA336D" w:rsidRDefault="0080227E" w:rsidP="00D918F4">
      <w:pPr>
        <w:pStyle w:val="NormalHanging12a"/>
      </w:pPr>
      <w:r w:rsidRPr="00BA336D">
        <w:t>–</w:t>
      </w:r>
      <w:r w:rsidRPr="00BA336D">
        <w:tab/>
        <w:t xml:space="preserve">wara li kkunsidra l-ftehim proviżorju approvat mill-kumitati responsabbli fis-sens tal-Artikolu </w:t>
      </w:r>
      <w:r w:rsidRPr="00113B4D">
        <w:t>74</w:t>
      </w:r>
      <w:r w:rsidRPr="00BA336D">
        <w:t>(</w:t>
      </w:r>
      <w:r w:rsidRPr="00113B4D">
        <w:t>4</w:t>
      </w:r>
      <w:r w:rsidRPr="00BA336D">
        <w:t>) tar-Regoli ta' Proċedura tiegħu u l-impenn meħud mir-rappreżentant tal-Kunsill, permezz tal-ittra tat-</w:t>
      </w:r>
      <w:r w:rsidRPr="00113B4D">
        <w:t>8</w:t>
      </w:r>
      <w:r w:rsidRPr="00BA336D">
        <w:t xml:space="preserve"> ta’ April </w:t>
      </w:r>
      <w:r w:rsidRPr="00113B4D">
        <w:t>2024</w:t>
      </w:r>
      <w:r w:rsidRPr="00BA336D">
        <w:t xml:space="preserve">, li japprova l-pożizzjoni tal-Parlament, skont l-Artikolu </w:t>
      </w:r>
      <w:r w:rsidRPr="00113B4D">
        <w:t>294</w:t>
      </w:r>
      <w:r w:rsidRPr="00BA336D">
        <w:t>(</w:t>
      </w:r>
      <w:r w:rsidRPr="00113B4D">
        <w:t>4</w:t>
      </w:r>
      <w:r w:rsidRPr="00BA336D">
        <w:t>) tat-Trattat dwar il-Funzjonament tal-Unjoni Ewropea,</w:t>
      </w:r>
    </w:p>
    <w:p w:rsidR="00D918F4" w:rsidRPr="00BA336D" w:rsidRDefault="00D918F4" w:rsidP="00D918F4">
      <w:pPr>
        <w:pStyle w:val="NormalHanging12a"/>
      </w:pPr>
      <w:r w:rsidRPr="00BA336D">
        <w:t>–</w:t>
      </w:r>
      <w:r w:rsidRPr="00BA336D">
        <w:tab/>
        <w:t xml:space="preserve">wara li kkunsidra l-Artikolu </w:t>
      </w:r>
      <w:r w:rsidRPr="00113B4D">
        <w:t>59</w:t>
      </w:r>
      <w:r w:rsidRPr="00BA336D">
        <w:t xml:space="preserve"> tar-Regoli ta’ Proċedura,</w:t>
      </w:r>
    </w:p>
    <w:p w:rsidR="0080227E" w:rsidRPr="00BA336D" w:rsidRDefault="0080227E" w:rsidP="00D918F4">
      <w:pPr>
        <w:pStyle w:val="NormalHanging12a"/>
      </w:pPr>
      <w:r w:rsidRPr="00BA336D">
        <w:t>–</w:t>
      </w:r>
      <w:r w:rsidRPr="00BA336D">
        <w:tab/>
        <w:t xml:space="preserve">wara li kkunsidra d-deliberazzjonijiet konġunti tal-Kumitat għall-Affarijiet Barranin u l-Kumitat għall-Baġits fis-sens tal-Artikolu </w:t>
      </w:r>
      <w:r w:rsidRPr="00113B4D">
        <w:t>58</w:t>
      </w:r>
      <w:r w:rsidRPr="00BA336D">
        <w:t xml:space="preserve"> tar-Regoli ta' Proċedura,</w:t>
      </w:r>
    </w:p>
    <w:p w:rsidR="00D918F4" w:rsidRPr="00BA336D" w:rsidRDefault="00D918F4" w:rsidP="00D918F4">
      <w:pPr>
        <w:pStyle w:val="NormalHanging12a"/>
      </w:pPr>
      <w:r w:rsidRPr="00BA336D">
        <w:lastRenderedPageBreak/>
        <w:t>–</w:t>
      </w:r>
      <w:r w:rsidRPr="00BA336D">
        <w:tab/>
        <w:t>wara li kkunsidra l-opinjonijiet tal-Kumitat għall-Kummerċ Internazzjonali u tal-Kumitat għall-Iżvilupp Reġjonali,</w:t>
      </w:r>
    </w:p>
    <w:p w:rsidR="00D918F4" w:rsidRPr="00BA336D" w:rsidRDefault="00D918F4" w:rsidP="00D918F4">
      <w:pPr>
        <w:pStyle w:val="NormalHanging12a"/>
      </w:pPr>
      <w:r w:rsidRPr="00BA336D">
        <w:t>–</w:t>
      </w:r>
      <w:r w:rsidRPr="00BA336D">
        <w:tab/>
        <w:t>wara li kkunsidra l-ittra tal-Kumitat għall-Kontroll tal-Baġit,</w:t>
      </w:r>
    </w:p>
    <w:p w:rsidR="00D918F4" w:rsidRPr="00BA336D" w:rsidRDefault="00D918F4" w:rsidP="00D918F4">
      <w:pPr>
        <w:pStyle w:val="NormalHanging12a"/>
      </w:pPr>
      <w:r w:rsidRPr="00BA336D">
        <w:t>–</w:t>
      </w:r>
      <w:r w:rsidRPr="00BA336D">
        <w:tab/>
        <w:t>wara li kkunsidra r-rapport tal-Kumitat għall-Affarijiet Barranin u tal-Kumitat għall-Baġits (A</w:t>
      </w:r>
      <w:r w:rsidRPr="00113B4D">
        <w:t>9</w:t>
      </w:r>
      <w:r w:rsidRPr="00BA336D">
        <w:t>-</w:t>
      </w:r>
      <w:r w:rsidRPr="00113B4D">
        <w:t>0085</w:t>
      </w:r>
      <w:r w:rsidRPr="00BA336D">
        <w:t>/</w:t>
      </w:r>
      <w:r w:rsidRPr="00113B4D">
        <w:t>2024</w:t>
      </w:r>
      <w:r w:rsidRPr="00BA336D">
        <w:t>),</w:t>
      </w:r>
    </w:p>
    <w:p w:rsidR="00D918F4" w:rsidRPr="00BA336D" w:rsidRDefault="00D918F4" w:rsidP="00D918F4">
      <w:pPr>
        <w:pStyle w:val="NormalHanging12a"/>
      </w:pPr>
      <w:r w:rsidRPr="00113B4D">
        <w:t>1</w:t>
      </w:r>
      <w:r w:rsidRPr="00BA336D">
        <w:t>.</w:t>
      </w:r>
      <w:r w:rsidRPr="00BA336D">
        <w:tab/>
        <w:t>Jadotta l-pożizzjoni fl-ewwel qari li tidher hawn taħt;</w:t>
      </w:r>
    </w:p>
    <w:p w:rsidR="005E7EF5" w:rsidRPr="00BA336D" w:rsidRDefault="005E7EF5" w:rsidP="00D918F4">
      <w:pPr>
        <w:pStyle w:val="NormalHanging12a"/>
      </w:pPr>
      <w:r w:rsidRPr="00113B4D">
        <w:t>2</w:t>
      </w:r>
      <w:r w:rsidRPr="00BA336D">
        <w:t>.</w:t>
      </w:r>
      <w:r w:rsidRPr="00BA336D">
        <w:tab/>
        <w:t xml:space="preserve">Japprova d-dikjarazzjoni konġunta mill-Parlament u l-Kunsill annessa ma' din ir-riżoluzzjoni, li se tiġi ppubblikata fis-serje C ta’ </w:t>
      </w:r>
      <w:r w:rsidRPr="00BA336D">
        <w:rPr>
          <w:i/>
        </w:rPr>
        <w:t>Il-Ġurnal Uffiċjali tal-Unjoni Ewropea;</w:t>
      </w:r>
    </w:p>
    <w:p w:rsidR="00D918F4" w:rsidRPr="00BA336D" w:rsidRDefault="005E7EF5" w:rsidP="00D918F4">
      <w:pPr>
        <w:pStyle w:val="NormalHanging12a"/>
      </w:pPr>
      <w:r w:rsidRPr="00113B4D">
        <w:t>3</w:t>
      </w:r>
      <w:r w:rsidR="00D918F4" w:rsidRPr="00BA336D">
        <w:t>.</w:t>
      </w:r>
      <w:r w:rsidR="00D918F4" w:rsidRPr="00BA336D">
        <w:tab/>
        <w:t>Jitlob lill-Kummissjoni terġa’ tirreferi l-kwistjoni lill-Parlament jekk tibdel il-proposta tagħha, temendaha b’mod sustanzjali jew ikollha l-ħsieb li temendaha b’mod sustanzjali;</w:t>
      </w:r>
    </w:p>
    <w:p w:rsidR="005E7EF5" w:rsidRPr="00BA336D" w:rsidRDefault="005E7EF5" w:rsidP="005E7EF5">
      <w:pPr>
        <w:pStyle w:val="NormalHanging12a"/>
        <w:sectPr w:rsidR="005E7EF5" w:rsidRPr="00BA336D" w:rsidSect="00D13CF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13B4D">
        <w:t>4</w:t>
      </w:r>
      <w:r w:rsidR="00D918F4" w:rsidRPr="00BA336D">
        <w:t>.</w:t>
      </w:r>
      <w:r w:rsidR="00D918F4" w:rsidRPr="00BA336D">
        <w:tab/>
        <w:t>Jagħti istruzzjonijiet lill-President tiegħu biex tgħaddi l-pożizzjoni tal-Parlament lill-Kunsill u lill-Kummissjoni kif ukoll lill-parlamenti nazzjonali.</w:t>
      </w:r>
    </w:p>
    <w:p w:rsidR="005E7EF5" w:rsidRPr="00BA336D" w:rsidRDefault="005E7EF5" w:rsidP="005E7EF5">
      <w:pPr>
        <w:pStyle w:val="NormalHanging12a"/>
        <w:rPr>
          <w:rFonts w:eastAsia="Calibri"/>
          <w:b/>
          <w:bCs/>
          <w:color w:val="000000"/>
          <w:szCs w:val="24"/>
        </w:rPr>
      </w:pPr>
      <w:r w:rsidRPr="00BA336D">
        <w:rPr>
          <w:rFonts w:eastAsia="Calibri"/>
          <w:b/>
          <w:bCs/>
          <w:color w:val="000000"/>
          <w:szCs w:val="24"/>
        </w:rPr>
        <w:lastRenderedPageBreak/>
        <w:t>P</w:t>
      </w:r>
      <w:r w:rsidRPr="00113B4D">
        <w:rPr>
          <w:rFonts w:eastAsia="Calibri"/>
          <w:b/>
          <w:bCs/>
          <w:color w:val="000000"/>
          <w:szCs w:val="24"/>
        </w:rPr>
        <w:t>9</w:t>
      </w:r>
      <w:r w:rsidRPr="00BA336D">
        <w:rPr>
          <w:rFonts w:eastAsia="Calibri"/>
          <w:b/>
          <w:bCs/>
          <w:color w:val="000000"/>
          <w:szCs w:val="24"/>
        </w:rPr>
        <w:t>_TC</w:t>
      </w:r>
      <w:r w:rsidRPr="00113B4D">
        <w:rPr>
          <w:rFonts w:eastAsia="Calibri"/>
          <w:b/>
          <w:bCs/>
          <w:color w:val="000000"/>
          <w:szCs w:val="24"/>
        </w:rPr>
        <w:t>1</w:t>
      </w:r>
      <w:r w:rsidRPr="00BA336D">
        <w:rPr>
          <w:rFonts w:eastAsia="Calibri"/>
          <w:b/>
          <w:bCs/>
          <w:color w:val="000000"/>
          <w:szCs w:val="24"/>
        </w:rPr>
        <w:t>-COD(</w:t>
      </w:r>
      <w:r w:rsidRPr="00113B4D">
        <w:rPr>
          <w:rFonts w:eastAsia="Calibri"/>
          <w:b/>
          <w:bCs/>
          <w:color w:val="000000"/>
          <w:szCs w:val="24"/>
        </w:rPr>
        <w:t>2023</w:t>
      </w:r>
      <w:r w:rsidRPr="00BA336D">
        <w:rPr>
          <w:rFonts w:eastAsia="Calibri"/>
          <w:b/>
          <w:bCs/>
          <w:color w:val="000000"/>
          <w:szCs w:val="24"/>
        </w:rPr>
        <w:t>)</w:t>
      </w:r>
      <w:r w:rsidRPr="00113B4D">
        <w:rPr>
          <w:rFonts w:eastAsia="Calibri"/>
          <w:b/>
          <w:bCs/>
          <w:color w:val="000000"/>
          <w:szCs w:val="24"/>
        </w:rPr>
        <w:t>0397</w:t>
      </w:r>
    </w:p>
    <w:p w:rsidR="005E7EF5" w:rsidRDefault="005E7EF5" w:rsidP="00B360F4">
      <w:pPr>
        <w:widowControl/>
        <w:spacing w:after="240"/>
        <w:jc w:val="both"/>
        <w:rPr>
          <w:b/>
        </w:rPr>
      </w:pPr>
      <w:r w:rsidRPr="00BA336D">
        <w:rPr>
          <w:rFonts w:eastAsia="Calibri"/>
          <w:b/>
          <w:bCs/>
          <w:szCs w:val="24"/>
          <w:lang w:eastAsia="en-US"/>
        </w:rPr>
        <w:t>Pożizzjoni tal-Parlament Ewropew adottata fl-ewwel qari tal-</w:t>
      </w:r>
      <w:r w:rsidRPr="00113B4D">
        <w:rPr>
          <w:rFonts w:eastAsia="Calibri"/>
          <w:b/>
          <w:bCs/>
          <w:szCs w:val="24"/>
          <w:lang w:eastAsia="en-US"/>
        </w:rPr>
        <w:t>24</w:t>
      </w:r>
      <w:r w:rsidRPr="00BA336D">
        <w:rPr>
          <w:rFonts w:eastAsia="Calibri"/>
          <w:b/>
          <w:szCs w:val="24"/>
          <w:lang w:eastAsia="en-US"/>
        </w:rPr>
        <w:t xml:space="preserve"> </w:t>
      </w:r>
      <w:r w:rsidRPr="00BA336D">
        <w:rPr>
          <w:rFonts w:eastAsia="Calibri"/>
          <w:b/>
          <w:bCs/>
          <w:szCs w:val="24"/>
          <w:lang w:eastAsia="en-US"/>
        </w:rPr>
        <w:t xml:space="preserve">ta' April </w:t>
      </w:r>
      <w:r w:rsidRPr="00113B4D">
        <w:rPr>
          <w:rFonts w:eastAsia="Calibri"/>
          <w:b/>
          <w:bCs/>
          <w:szCs w:val="24"/>
          <w:lang w:eastAsia="en-US"/>
        </w:rPr>
        <w:t>2024</w:t>
      </w:r>
      <w:r w:rsidRPr="00BA336D">
        <w:rPr>
          <w:rFonts w:eastAsia="Calibri"/>
          <w:b/>
          <w:bCs/>
          <w:szCs w:val="24"/>
          <w:lang w:eastAsia="en-US"/>
        </w:rPr>
        <w:t xml:space="preserve"> bil-ħsieb tal-adozzjoni tar-Regolament (UE) </w:t>
      </w:r>
      <w:r w:rsidRPr="00113B4D">
        <w:rPr>
          <w:rFonts w:eastAsia="Calibri"/>
          <w:b/>
          <w:bCs/>
          <w:szCs w:val="24"/>
          <w:lang w:eastAsia="en-US"/>
        </w:rPr>
        <w:t>2024</w:t>
      </w:r>
      <w:r w:rsidRPr="00BA336D">
        <w:rPr>
          <w:rFonts w:eastAsia="Calibri"/>
          <w:b/>
          <w:bCs/>
          <w:szCs w:val="24"/>
          <w:lang w:eastAsia="en-US"/>
        </w:rPr>
        <w:t xml:space="preserve">/... </w:t>
      </w:r>
      <w:r w:rsidRPr="00BA336D">
        <w:rPr>
          <w:rFonts w:eastAsia="Calibri"/>
          <w:b/>
          <w:color w:val="000000"/>
          <w:szCs w:val="22"/>
          <w:lang w:eastAsia="en-US"/>
        </w:rPr>
        <w:t>tal-Parlament Ewropew u tal-Kunsill</w:t>
      </w:r>
      <w:r w:rsidRPr="00BA336D">
        <w:rPr>
          <w:rFonts w:eastAsia="Calibri"/>
          <w:b/>
          <w:szCs w:val="22"/>
          <w:lang w:eastAsia="en-US"/>
        </w:rPr>
        <w:t xml:space="preserve"> </w:t>
      </w:r>
      <w:r w:rsidRPr="00BA336D">
        <w:rPr>
          <w:b/>
        </w:rPr>
        <w:t>dwar l-istabbiliment tal-Faċilità għar-Rifo</w:t>
      </w:r>
      <w:bookmarkStart w:id="8" w:name="_GoBack"/>
      <w:bookmarkEnd w:id="8"/>
      <w:r w:rsidRPr="00BA336D">
        <w:rPr>
          <w:b/>
        </w:rPr>
        <w:t>rma u t-Tkabbir għall-Balkani tal-Punent</w:t>
      </w:r>
    </w:p>
    <w:p w:rsidR="00B360F4" w:rsidRPr="00B360F4" w:rsidRDefault="00B360F4" w:rsidP="00B360F4">
      <w:pPr>
        <w:rPr>
          <w:i/>
        </w:rPr>
      </w:pPr>
      <w:r w:rsidRPr="00B360F4">
        <w:rPr>
          <w:i/>
        </w:rPr>
        <w:t xml:space="preserve">(Peress li ntlaħaq ftehim bejn il-Parlament u l-Kunsill, il-pożizzjoni tal-Parlament taqbel mal-att leġiżlattiv finali, ir-Regolament (UE) </w:t>
      </w:r>
      <w:r w:rsidRPr="00B360F4">
        <w:rPr>
          <w:i/>
        </w:rPr>
        <w:t>2024/1449</w:t>
      </w:r>
      <w:r w:rsidRPr="00B360F4">
        <w:rPr>
          <w:i/>
        </w:rPr>
        <w:t>.)</w:t>
      </w:r>
    </w:p>
    <w:p w:rsidR="00B360F4" w:rsidRPr="00BA336D" w:rsidRDefault="00B360F4" w:rsidP="005E7EF5">
      <w:pPr>
        <w:widowControl/>
        <w:jc w:val="both"/>
        <w:rPr>
          <w:rFonts w:eastAsia="Calibri"/>
          <w:b/>
          <w:szCs w:val="22"/>
        </w:rPr>
      </w:pPr>
    </w:p>
    <w:p w:rsidR="00B360F4" w:rsidRDefault="00B360F4">
      <w:pPr>
        <w:widowControl/>
      </w:pPr>
      <w:r>
        <w:br w:type="page"/>
      </w:r>
    </w:p>
    <w:p w:rsidR="005E7EF5" w:rsidRPr="00BA336D" w:rsidRDefault="000515D6" w:rsidP="000515D6">
      <w:pPr>
        <w:spacing w:before="120" w:after="120" w:line="360" w:lineRule="auto"/>
        <w:jc w:val="right"/>
        <w:rPr>
          <w:rFonts w:eastAsia="Calibri"/>
          <w:szCs w:val="22"/>
        </w:rPr>
      </w:pPr>
      <w:r w:rsidRPr="00BA336D">
        <w:rPr>
          <w:rFonts w:eastAsia="Calibri"/>
          <w:szCs w:val="22"/>
        </w:rPr>
        <w:lastRenderedPageBreak/>
        <w:t>ANNESS TAR-RIŻOLUZZJONI LEĠIŻLATTIVA</w:t>
      </w:r>
    </w:p>
    <w:p w:rsidR="000515D6" w:rsidRPr="00BA336D" w:rsidRDefault="000515D6" w:rsidP="000515D6">
      <w:pPr>
        <w:spacing w:line="360" w:lineRule="auto"/>
        <w:jc w:val="center"/>
        <w:rPr>
          <w:b/>
          <w:bCs/>
          <w:szCs w:val="24"/>
        </w:rPr>
      </w:pPr>
      <w:r w:rsidRPr="00BA336D">
        <w:rPr>
          <w:b/>
        </w:rPr>
        <w:t>Dikjarazzjoni konġunta tal-Parlament Ewropew u tal-Kunsill dwar in-nomenklatura baġitarja xierqa għall-Faċilità għall-Balkani tal-Punent</w:t>
      </w:r>
    </w:p>
    <w:p w:rsidR="000515D6" w:rsidRPr="000515D6" w:rsidRDefault="000515D6" w:rsidP="000515D6">
      <w:pPr>
        <w:spacing w:before="120" w:after="120" w:line="360" w:lineRule="auto"/>
        <w:rPr>
          <w:rFonts w:eastAsia="Calibri"/>
          <w:szCs w:val="22"/>
        </w:rPr>
      </w:pPr>
      <w:r w:rsidRPr="00BA336D">
        <w:t xml:space="preserve"> Il-Parlament Ewropew u l-Kunsill jieħdu nota tad-dikjarazzjoni tal-Kummissjoni Ewropea dwar ir-rapportar. Mingħajr preġudizzju għall-prerogattivi tal-awtorità baġitarja skont it-Trattati, il-Parlament Ewropew u l-Kunsill beħsiebhom jirrevedu n-nomenklatura tal-Faċilità, pereżempju dwar l-approprjazzjonijiet għal kull benefiċjarju, biex jiżguraw skrutinju politiku u baġitarju xieraq. Il-Parlament Ewropew u l-Kunsill jistiednu lill-Kummissjoni Ewropea tqis b’mod dovut din id-dikjarazzjoni, kif xieraq, fit-tħejjija tal-Abbozz tal-Baġit </w:t>
      </w:r>
      <w:r w:rsidRPr="00113B4D">
        <w:t>2025</w:t>
      </w:r>
      <w:r w:rsidRPr="00BA336D">
        <w:t>.</w:t>
      </w:r>
    </w:p>
    <w:sectPr w:rsidR="000515D6" w:rsidRPr="000515D6" w:rsidSect="00D13C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CB0" w:rsidRPr="00D13CFC" w:rsidRDefault="00237CB0">
      <w:r w:rsidRPr="00D13CFC">
        <w:separator/>
      </w:r>
    </w:p>
  </w:endnote>
  <w:endnote w:type="continuationSeparator" w:id="0">
    <w:p w:rsidR="00237CB0" w:rsidRPr="00D13CFC" w:rsidRDefault="00237CB0">
      <w:r w:rsidRPr="00D13C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F5" w:rsidRDefault="005E7E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F5" w:rsidRPr="005E7EF5" w:rsidRDefault="005E7EF5" w:rsidP="005E7E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F5" w:rsidRDefault="005E7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CB0" w:rsidRPr="00D13CFC" w:rsidRDefault="00237CB0">
      <w:r w:rsidRPr="00D13CFC">
        <w:separator/>
      </w:r>
    </w:p>
  </w:footnote>
  <w:footnote w:type="continuationSeparator" w:id="0">
    <w:p w:rsidR="00237CB0" w:rsidRPr="00D13CFC" w:rsidRDefault="00237CB0">
      <w:r w:rsidRPr="00D13CFC">
        <w:continuationSeparator/>
      </w:r>
    </w:p>
  </w:footnote>
  <w:footnote w:id="1">
    <w:p w:rsidR="0080227E" w:rsidRPr="00BA336D" w:rsidRDefault="0080227E" w:rsidP="005E7EF5">
      <w:pPr>
        <w:pStyle w:val="FootnoteText"/>
        <w:ind w:left="851" w:hanging="851"/>
        <w:rPr>
          <w:sz w:val="24"/>
          <w:szCs w:val="24"/>
          <w:lang w:val="mt-MT"/>
        </w:rPr>
      </w:pPr>
      <w:r w:rsidRPr="00BA336D">
        <w:rPr>
          <w:rStyle w:val="FootnoteReference"/>
          <w:sz w:val="24"/>
          <w:szCs w:val="24"/>
        </w:rPr>
        <w:footnoteRef/>
      </w:r>
      <w:r w:rsidRPr="00BA336D">
        <w:rPr>
          <w:sz w:val="24"/>
          <w:szCs w:val="24"/>
        </w:rPr>
        <w:t xml:space="preserve"> </w:t>
      </w:r>
      <w:r w:rsidR="00236752" w:rsidRPr="00BA336D">
        <w:rPr>
          <w:sz w:val="24"/>
          <w:szCs w:val="24"/>
          <w:lang w:val="mt-MT"/>
        </w:rPr>
        <w:t>,</w:t>
      </w:r>
      <w:r w:rsidR="00236752" w:rsidRPr="00BA336D">
        <w:rPr>
          <w:sz w:val="24"/>
          <w:szCs w:val="24"/>
          <w:lang w:val="mt-MT"/>
        </w:rPr>
        <w:tab/>
        <w:t>G</w:t>
      </w:r>
      <w:r w:rsidRPr="00BA336D">
        <w:rPr>
          <w:sz w:val="24"/>
          <w:szCs w:val="24"/>
          <w:lang w:val="mt-MT"/>
        </w:rPr>
        <w:t>ħadha mhijiex ippublikata fil-Ġurnal Uffiċjali.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F5" w:rsidRDefault="005E7E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F5" w:rsidRDefault="005E7E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F5" w:rsidRDefault="005E7E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MT"/>
    <w:docVar w:name="dvnumam" w:val="0"/>
    <w:docVar w:name="dvpe" w:val="758.888"/>
    <w:docVar w:name="dvrapporteur" w:val="Rapporteur: "/>
    <w:docVar w:name="dvstar" w:val="***I"/>
    <w:docVar w:name="dvtitre" w:val="Riżoluzzjoni leġiżlattiva tal-Parlament Ewropew tal-24 ta' April 2024 dwar il-proposta għal Regolament tal-Parlament Ewropew u tal-Kunsill dwar l-istabbiliment tal-Faċilità għar-Riforma u t-Tkabbir għall-Balkani tal-Punent(COM(2023)0692 – C9-0408/2023 – 2023/0397(COD))"/>
  </w:docVars>
  <w:rsids>
    <w:rsidRoot w:val="00237CB0"/>
    <w:rsid w:val="00002272"/>
    <w:rsid w:val="000515D6"/>
    <w:rsid w:val="00064002"/>
    <w:rsid w:val="000677B9"/>
    <w:rsid w:val="000831BA"/>
    <w:rsid w:val="000A42CC"/>
    <w:rsid w:val="000E7DD9"/>
    <w:rsid w:val="0010095E"/>
    <w:rsid w:val="00113B4D"/>
    <w:rsid w:val="00125B37"/>
    <w:rsid w:val="00187494"/>
    <w:rsid w:val="001F32AE"/>
    <w:rsid w:val="0023626F"/>
    <w:rsid w:val="00236752"/>
    <w:rsid w:val="00237CB0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36F25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7EF5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227E"/>
    <w:rsid w:val="00813718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60F4"/>
    <w:rsid w:val="00B558F0"/>
    <w:rsid w:val="00BA336D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3CFC"/>
    <w:rsid w:val="00D13E1C"/>
    <w:rsid w:val="00D56C11"/>
    <w:rsid w:val="00D834A0"/>
    <w:rsid w:val="00D872DF"/>
    <w:rsid w:val="00D918F4"/>
    <w:rsid w:val="00D91E21"/>
    <w:rsid w:val="00D94365"/>
    <w:rsid w:val="00DA7FCD"/>
    <w:rsid w:val="00E365E1"/>
    <w:rsid w:val="00E820A4"/>
    <w:rsid w:val="00EB006A"/>
    <w:rsid w:val="00EB4772"/>
    <w:rsid w:val="00ED169E"/>
    <w:rsid w:val="00ED4235"/>
    <w:rsid w:val="00EF7D0D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F7416"/>
  <w15:chartTrackingRefBased/>
  <w15:docId w15:val="{14EA0524-6CED-42EC-96BB-DA28196E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918F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8F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8F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8F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8F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8F4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8F4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8F4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8F4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D918F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918F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D918F4"/>
    <w:pPr>
      <w:spacing w:before="480" w:after="240"/>
    </w:pPr>
  </w:style>
  <w:style w:type="paragraph" w:customStyle="1" w:styleId="TOCPage">
    <w:name w:val="TOC Page"/>
    <w:basedOn w:val="Normal"/>
    <w:next w:val="TOC1"/>
    <w:rsid w:val="00D918F4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D918F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918F4"/>
    <w:rPr>
      <w:b/>
    </w:rPr>
  </w:style>
  <w:style w:type="paragraph" w:customStyle="1" w:styleId="NormalBold12a">
    <w:name w:val="NormalBold12a"/>
    <w:basedOn w:val="Normal"/>
    <w:rsid w:val="00D918F4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D918F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918F4"/>
    <w:pPr>
      <w:spacing w:after="480"/>
      <w:ind w:left="1417"/>
    </w:pPr>
  </w:style>
  <w:style w:type="paragraph" w:customStyle="1" w:styleId="CoverNormal">
    <w:name w:val="CoverNormal"/>
    <w:basedOn w:val="Normal"/>
    <w:rsid w:val="00D918F4"/>
    <w:pPr>
      <w:ind w:left="1418"/>
    </w:pPr>
  </w:style>
  <w:style w:type="paragraph" w:customStyle="1" w:styleId="NormalCenter12a">
    <w:name w:val="NormalCenter12a"/>
    <w:basedOn w:val="Normal"/>
    <w:rsid w:val="00D918F4"/>
    <w:pPr>
      <w:spacing w:after="240"/>
      <w:jc w:val="center"/>
    </w:pPr>
  </w:style>
  <w:style w:type="paragraph" w:customStyle="1" w:styleId="CoverReference">
    <w:name w:val="CoverReference"/>
    <w:basedOn w:val="Normal"/>
    <w:rsid w:val="00D918F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918F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918F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918F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918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8F4"/>
    <w:rPr>
      <w:sz w:val="24"/>
      <w:lang w:val="mt-MT"/>
    </w:rPr>
  </w:style>
  <w:style w:type="paragraph" w:customStyle="1" w:styleId="AmNumberTabs">
    <w:name w:val="AmNumberTabs"/>
    <w:basedOn w:val="Normal"/>
    <w:link w:val="AmNumberTabsChar"/>
    <w:rsid w:val="00D918F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918F4"/>
    <w:pPr>
      <w:spacing w:before="720" w:after="240"/>
      <w:jc w:val="center"/>
    </w:pPr>
  </w:style>
  <w:style w:type="paragraph" w:customStyle="1" w:styleId="EPBody">
    <w:name w:val="EPBody"/>
    <w:basedOn w:val="Normal"/>
    <w:rsid w:val="00D918F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918F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D918F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918F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D918F4"/>
    <w:pPr>
      <w:ind w:left="0" w:firstLine="0"/>
    </w:pPr>
  </w:style>
  <w:style w:type="character" w:customStyle="1" w:styleId="NormalBoldChar">
    <w:name w:val="NormalBold Char"/>
    <w:basedOn w:val="DefaultParagraphFont"/>
    <w:link w:val="NormalBold"/>
    <w:locked/>
    <w:rsid w:val="00D918F4"/>
    <w:rPr>
      <w:b/>
      <w:sz w:val="24"/>
      <w:lang w:val="mt-MT"/>
    </w:rPr>
  </w:style>
  <w:style w:type="character" w:styleId="Hyperlink">
    <w:name w:val="Hyperlink"/>
    <w:uiPriority w:val="99"/>
    <w:unhideWhenUsed/>
    <w:rsid w:val="00D918F4"/>
    <w:rPr>
      <w:color w:val="0000FF"/>
      <w:u w:val="single"/>
    </w:rPr>
  </w:style>
  <w:style w:type="paragraph" w:customStyle="1" w:styleId="Text1">
    <w:name w:val="Text 1"/>
    <w:basedOn w:val="Normal"/>
    <w:rsid w:val="00D918F4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918F4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918F4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918F4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918F4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D918F4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D918F4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918F4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918F4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918F4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D918F4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D918F4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D918F4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918F4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D918F4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sid w:val="00D918F4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D918F4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D918F4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D918F4"/>
    <w:rPr>
      <w:color w:val="008000"/>
    </w:rPr>
  </w:style>
  <w:style w:type="character" w:customStyle="1" w:styleId="italic1">
    <w:name w:val="italic1"/>
    <w:basedOn w:val="DefaultParagraphFont"/>
    <w:rsid w:val="00D918F4"/>
    <w:rPr>
      <w:i/>
      <w:iCs/>
    </w:rPr>
  </w:style>
  <w:style w:type="paragraph" w:styleId="BalloonText">
    <w:name w:val="Balloon Text"/>
    <w:basedOn w:val="Normal"/>
    <w:link w:val="BalloonTextChar"/>
    <w:unhideWhenUsed/>
    <w:rsid w:val="00D918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8F4"/>
    <w:rPr>
      <w:rFonts w:ascii="Segoe UI" w:hAnsi="Segoe UI" w:cs="Segoe UI"/>
      <w:sz w:val="18"/>
      <w:szCs w:val="18"/>
      <w:lang w:val="mt-MT"/>
    </w:rPr>
  </w:style>
  <w:style w:type="paragraph" w:styleId="ListParagraph">
    <w:name w:val="List Paragraph"/>
    <w:basedOn w:val="Normal"/>
    <w:uiPriority w:val="34"/>
    <w:qFormat/>
    <w:rsid w:val="00D918F4"/>
    <w:pPr>
      <w:ind w:left="720"/>
      <w:contextualSpacing/>
    </w:pPr>
  </w:style>
  <w:style w:type="paragraph" w:customStyle="1" w:styleId="Normal12a">
    <w:name w:val="Normal12a"/>
    <w:basedOn w:val="Normal"/>
    <w:rsid w:val="00D918F4"/>
    <w:pPr>
      <w:spacing w:after="240"/>
    </w:pPr>
  </w:style>
  <w:style w:type="paragraph" w:customStyle="1" w:styleId="Normal6a">
    <w:name w:val="Normal6a"/>
    <w:basedOn w:val="Normal"/>
    <w:rsid w:val="00D918F4"/>
    <w:pPr>
      <w:spacing w:after="120"/>
    </w:pPr>
  </w:style>
  <w:style w:type="paragraph" w:customStyle="1" w:styleId="PageHeadingNotTOC">
    <w:name w:val="PageHeadingNotTOC"/>
    <w:basedOn w:val="Normal"/>
    <w:rsid w:val="00D918F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918F4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AmColumnHeading">
    <w:name w:val="AmColumnHeading"/>
    <w:basedOn w:val="Normal"/>
    <w:rsid w:val="00D918F4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link w:val="NormalBold12bChar"/>
    <w:rsid w:val="00D918F4"/>
    <w:pPr>
      <w:spacing w:before="240"/>
    </w:pPr>
    <w:rPr>
      <w:b/>
    </w:rPr>
  </w:style>
  <w:style w:type="character" w:customStyle="1" w:styleId="Normal6Char">
    <w:name w:val="Normal6 Char"/>
    <w:basedOn w:val="DefaultParagraphFont"/>
    <w:link w:val="Normal6"/>
    <w:locked/>
    <w:rsid w:val="00D918F4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D918F4"/>
    <w:pPr>
      <w:spacing w:after="120"/>
    </w:pPr>
  </w:style>
  <w:style w:type="paragraph" w:customStyle="1" w:styleId="ColumnHeading">
    <w:name w:val="ColumnHeading"/>
    <w:basedOn w:val="Normal"/>
    <w:rsid w:val="00D918F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D918F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D918F4"/>
    <w:rPr>
      <w:b/>
      <w:sz w:val="24"/>
      <w:lang w:val="mt-MT"/>
    </w:rPr>
  </w:style>
  <w:style w:type="character" w:customStyle="1" w:styleId="NormalBold12bChar">
    <w:name w:val="NormalBold12b Char"/>
    <w:basedOn w:val="AmNumberTabsChar"/>
    <w:link w:val="NormalBold12b"/>
    <w:rsid w:val="00D918F4"/>
    <w:rPr>
      <w:b/>
      <w:sz w:val="24"/>
      <w:lang w:val="mt-MT"/>
    </w:rPr>
  </w:style>
  <w:style w:type="paragraph" w:customStyle="1" w:styleId="Normal24a">
    <w:name w:val="Normal24a"/>
    <w:basedOn w:val="Normal"/>
    <w:rsid w:val="00D918F4"/>
    <w:pPr>
      <w:spacing w:after="480"/>
    </w:pPr>
  </w:style>
  <w:style w:type="paragraph" w:customStyle="1" w:styleId="RollCallSymbols14pt">
    <w:name w:val="RollCallSymbols14pt"/>
    <w:basedOn w:val="Normal"/>
    <w:rsid w:val="00D918F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D918F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D918F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D918F4"/>
    <w:pPr>
      <w:spacing w:before="120" w:after="120"/>
    </w:pPr>
    <w:rPr>
      <w:snapToGrid w:val="0"/>
      <w:sz w:val="16"/>
      <w:lang w:eastAsia="en-US"/>
    </w:rPr>
  </w:style>
  <w:style w:type="paragraph" w:customStyle="1" w:styleId="AmJustText">
    <w:name w:val="AmJustText"/>
    <w:basedOn w:val="Normal"/>
    <w:rsid w:val="00D918F4"/>
    <w:pPr>
      <w:spacing w:after="240"/>
    </w:pPr>
    <w:rPr>
      <w:i/>
    </w:rPr>
  </w:style>
  <w:style w:type="paragraph" w:customStyle="1" w:styleId="AmCrossRef">
    <w:name w:val="AmCrossRef"/>
    <w:basedOn w:val="Normal"/>
    <w:rsid w:val="00D918F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918F4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D918F4"/>
    <w:pPr>
      <w:spacing w:before="240" w:after="240"/>
      <w:jc w:val="right"/>
    </w:pPr>
  </w:style>
  <w:style w:type="paragraph" w:customStyle="1" w:styleId="LetterSalutation">
    <w:name w:val="LetterSalutation"/>
    <w:basedOn w:val="Normal"/>
    <w:rsid w:val="00D918F4"/>
    <w:pPr>
      <w:spacing w:before="600" w:after="360"/>
    </w:pPr>
  </w:style>
  <w:style w:type="paragraph" w:customStyle="1" w:styleId="NormalBoldCenter">
    <w:name w:val="NormalBoldCenter"/>
    <w:basedOn w:val="Normal"/>
    <w:rsid w:val="00D918F4"/>
    <w:pPr>
      <w:jc w:val="center"/>
    </w:pPr>
    <w:rPr>
      <w:b/>
    </w:rPr>
  </w:style>
  <w:style w:type="paragraph" w:customStyle="1" w:styleId="LetterSubject">
    <w:name w:val="LetterSubject"/>
    <w:basedOn w:val="Normal"/>
    <w:rsid w:val="00D918F4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D918F4"/>
    <w:pPr>
      <w:spacing w:before="1320"/>
    </w:pPr>
  </w:style>
  <w:style w:type="paragraph" w:customStyle="1" w:styleId="Normal12">
    <w:name w:val="Normal12"/>
    <w:basedOn w:val="Normal"/>
    <w:link w:val="Normal12Char"/>
    <w:rsid w:val="00D918F4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D918F4"/>
    <w:rPr>
      <w:rFonts w:ascii="Arial" w:hAnsi="Arial" w:cs="Arial"/>
      <w:b/>
      <w:sz w:val="24"/>
      <w:lang w:val="mt-MT"/>
    </w:rPr>
  </w:style>
  <w:style w:type="character" w:customStyle="1" w:styleId="Normal12Char">
    <w:name w:val="Normal12 Char"/>
    <w:basedOn w:val="PageHeadingChar"/>
    <w:link w:val="Normal12"/>
    <w:rsid w:val="00D918F4"/>
    <w:rPr>
      <w:rFonts w:ascii="Arial" w:hAnsi="Arial" w:cs="Arial"/>
      <w:b w:val="0"/>
      <w:sz w:val="24"/>
      <w:lang w:val="mt-MT"/>
    </w:rPr>
  </w:style>
  <w:style w:type="paragraph" w:styleId="Footer">
    <w:name w:val="footer"/>
    <w:basedOn w:val="Normal"/>
    <w:link w:val="FooterChar"/>
    <w:uiPriority w:val="99"/>
    <w:rsid w:val="00D918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8F4"/>
    <w:rPr>
      <w:sz w:val="24"/>
      <w:lang w:val="mt-MT"/>
    </w:rPr>
  </w:style>
  <w:style w:type="character" w:styleId="CommentReference">
    <w:name w:val="annotation reference"/>
    <w:basedOn w:val="DefaultParagraphFont"/>
    <w:rsid w:val="00D918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18F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918F4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91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18F4"/>
    <w:rPr>
      <w:b/>
      <w:bCs/>
      <w:lang w:val="mt-MT"/>
    </w:rPr>
  </w:style>
  <w:style w:type="character" w:styleId="Emphasis">
    <w:name w:val="Emphasis"/>
    <w:basedOn w:val="DefaultParagraphFont"/>
    <w:uiPriority w:val="20"/>
    <w:qFormat/>
    <w:rsid w:val="00D918F4"/>
    <w:rPr>
      <w:i/>
      <w:iCs/>
    </w:rPr>
  </w:style>
  <w:style w:type="paragraph" w:customStyle="1" w:styleId="Titel">
    <w:name w:val="Titel"/>
    <w:rsid w:val="00D918F4"/>
    <w:pPr>
      <w:widowControl w:val="0"/>
      <w:tabs>
        <w:tab w:val="left" w:pos="432"/>
        <w:tab w:val="left" w:pos="576"/>
      </w:tabs>
      <w:suppressAutoHyphens/>
    </w:pPr>
    <w:rPr>
      <w:b/>
      <w:snapToGrid w:val="0"/>
      <w:sz w:val="24"/>
      <w:lang w:val="mt-MT" w:eastAsia="en-US"/>
    </w:rPr>
  </w:style>
  <w:style w:type="character" w:styleId="FollowedHyperlink">
    <w:name w:val="FollowedHyperlink"/>
    <w:basedOn w:val="DefaultParagraphFont"/>
    <w:unhideWhenUsed/>
    <w:rsid w:val="00D918F4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5E7EF5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5E7EF5"/>
    <w:pPr>
      <w:tabs>
        <w:tab w:val="right" w:pos="9072"/>
      </w:tabs>
    </w:pPr>
  </w:style>
  <w:style w:type="paragraph" w:styleId="Title">
    <w:name w:val="Title"/>
    <w:basedOn w:val="Normal"/>
    <w:next w:val="Normal"/>
    <w:link w:val="TitleChar"/>
    <w:uiPriority w:val="10"/>
    <w:qFormat/>
    <w:rsid w:val="005E7EF5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E7EF5"/>
    <w:rPr>
      <w:rFonts w:ascii="Arial" w:eastAsiaTheme="majorEastAsia" w:hAnsi="Arial" w:cs="Arial"/>
      <w:b/>
      <w:bCs/>
      <w:kern w:val="28"/>
      <w:sz w:val="32"/>
      <w:szCs w:val="3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EF5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E7EF5"/>
    <w:rPr>
      <w:rFonts w:ascii="Arial" w:eastAsiaTheme="majorEastAsia" w:hAnsi="Arial" w:cs="Arial"/>
      <w:sz w:val="24"/>
      <w:szCs w:val="24"/>
      <w:lang w:val="mt-MT" w:eastAsia="en-US"/>
    </w:rPr>
  </w:style>
  <w:style w:type="character" w:styleId="Strong">
    <w:name w:val="Strong"/>
    <w:basedOn w:val="DefaultParagraphFont"/>
    <w:uiPriority w:val="22"/>
    <w:qFormat/>
    <w:rsid w:val="005E7EF5"/>
    <w:rPr>
      <w:b/>
      <w:bCs/>
    </w:rPr>
  </w:style>
  <w:style w:type="paragraph" w:styleId="NoSpacing">
    <w:name w:val="No Spacing"/>
    <w:basedOn w:val="Normal"/>
    <w:uiPriority w:val="1"/>
    <w:qFormat/>
    <w:rsid w:val="005E7EF5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E7EF5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E7EF5"/>
    <w:rPr>
      <w:rFonts w:eastAsiaTheme="minorHAnsi"/>
      <w:i/>
      <w:sz w:val="24"/>
      <w:szCs w:val="24"/>
      <w:lang w:val="mt-M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EF5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EF5"/>
    <w:rPr>
      <w:rFonts w:eastAsiaTheme="minorHAnsi"/>
      <w:b/>
      <w:i/>
      <w:sz w:val="24"/>
      <w:szCs w:val="22"/>
      <w:lang w:val="mt-MT" w:eastAsia="en-US"/>
    </w:rPr>
  </w:style>
  <w:style w:type="character" w:styleId="SubtleEmphasis">
    <w:name w:val="Subtle Emphasis"/>
    <w:uiPriority w:val="19"/>
    <w:qFormat/>
    <w:rsid w:val="005E7EF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E7EF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E7EF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E7EF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E7EF5"/>
    <w:rPr>
      <w:rFonts w:asciiTheme="majorHAnsi" w:eastAsiaTheme="majorEastAsia" w:hAnsiTheme="majorHAnsi"/>
      <w:b/>
      <w:i/>
      <w:sz w:val="24"/>
      <w:szCs w:val="24"/>
    </w:rPr>
  </w:style>
  <w:style w:type="paragraph" w:styleId="NormalWeb">
    <w:name w:val="Normal (Web)"/>
    <w:basedOn w:val="Normal"/>
    <w:uiPriority w:val="99"/>
    <w:unhideWhenUsed/>
    <w:rsid w:val="005E7EF5"/>
    <w:pPr>
      <w:widowControl/>
      <w:jc w:val="both"/>
    </w:pPr>
    <w:rPr>
      <w:rFonts w:eastAsiaTheme="minorHAnsi"/>
      <w:szCs w:val="24"/>
      <w:lang w:eastAsia="en-US"/>
    </w:rPr>
  </w:style>
  <w:style w:type="character" w:customStyle="1" w:styleId="diff-tte-added">
    <w:name w:val="diff-tte-added"/>
    <w:basedOn w:val="DefaultParagraphFont"/>
    <w:rsid w:val="005E7EF5"/>
    <w:rPr>
      <w:b/>
      <w:i/>
    </w:rPr>
  </w:style>
  <w:style w:type="character" w:customStyle="1" w:styleId="Hyperlink1">
    <w:name w:val="Hyperlink1"/>
    <w:basedOn w:val="DefaultParagraphFont"/>
    <w:uiPriority w:val="99"/>
    <w:unhideWhenUsed/>
    <w:rsid w:val="005E7EF5"/>
    <w:rPr>
      <w:color w:val="0563C1"/>
      <w:u w:val="single"/>
    </w:rPr>
  </w:style>
  <w:style w:type="paragraph" w:customStyle="1" w:styleId="Point2">
    <w:name w:val="Point 2"/>
    <w:basedOn w:val="Normal"/>
    <w:rsid w:val="005E7EF5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Normal"/>
    <w:rsid w:val="005E7EF5"/>
    <w:pPr>
      <w:widowControl/>
      <w:spacing w:line="360" w:lineRule="auto"/>
      <w:ind w:left="5103"/>
    </w:pPr>
    <w:rPr>
      <w:rFonts w:eastAsiaTheme="minorHAnsi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A68DF-FB19-4454-ABCF-13A5D8D7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379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CAMILLERI Denise</cp:lastModifiedBy>
  <cp:revision>2</cp:revision>
  <cp:lastPrinted>2004-11-19T15:42:00Z</cp:lastPrinted>
  <dcterms:created xsi:type="dcterms:W3CDTF">2024-09-05T11:09:00Z</dcterms:created>
  <dcterms:modified xsi:type="dcterms:W3CDTF">2024-09-05T11:09:00Z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