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7DD5" w:rsidRPr="00A72789" w14:paraId="37F7694A" w14:textId="77777777" w:rsidTr="00425111">
        <w:trPr>
          <w:trHeight w:hRule="exact" w:val="1418"/>
        </w:trPr>
        <w:tc>
          <w:tcPr>
            <w:tcW w:w="6804" w:type="dxa"/>
            <w:shd w:val="clear" w:color="auto" w:fill="auto"/>
            <w:vAlign w:val="center"/>
          </w:tcPr>
          <w:p w14:paraId="60F07DE5" w14:textId="77777777" w:rsidR="00757DD5" w:rsidRPr="00A72789" w:rsidRDefault="00CC1407" w:rsidP="00425111">
            <w:pPr>
              <w:pStyle w:val="EPName"/>
              <w:rPr>
                <w:lang w:val="en-GB"/>
              </w:rPr>
            </w:pPr>
            <w:r w:rsidRPr="00A72789">
              <w:rPr>
                <w:lang w:val="en-GB"/>
              </w:rPr>
              <w:t>European Parliament</w:t>
            </w:r>
          </w:p>
          <w:p w14:paraId="051AA305" w14:textId="77777777" w:rsidR="00757DD5" w:rsidRPr="00A72789" w:rsidRDefault="00CC1407" w:rsidP="00425111">
            <w:pPr>
              <w:pStyle w:val="EPTerm"/>
              <w:rPr>
                <w:rStyle w:val="HideTWBExt"/>
                <w:vanish w:val="0"/>
                <w:lang w:val="en-GB"/>
              </w:rPr>
            </w:pPr>
            <w:r w:rsidRPr="0000435B">
              <w:rPr>
                <w:lang w:val="en-GB"/>
              </w:rPr>
              <w:t>2019</w:t>
            </w:r>
            <w:r w:rsidRPr="00A72789">
              <w:rPr>
                <w:lang w:val="en-GB"/>
              </w:rPr>
              <w:t xml:space="preserve"> - </w:t>
            </w:r>
            <w:r w:rsidRPr="0000435B">
              <w:rPr>
                <w:lang w:val="en-GB"/>
              </w:rPr>
              <w:t>2024</w:t>
            </w:r>
          </w:p>
        </w:tc>
        <w:tc>
          <w:tcPr>
            <w:tcW w:w="2268" w:type="dxa"/>
            <w:shd w:val="clear" w:color="auto" w:fill="auto"/>
          </w:tcPr>
          <w:p w14:paraId="69ECAEB6" w14:textId="77777777" w:rsidR="00757DD5" w:rsidRPr="00A72789" w:rsidRDefault="00172070" w:rsidP="00425111">
            <w:pPr>
              <w:pStyle w:val="EPLogo"/>
            </w:pPr>
            <w:r w:rsidRPr="00A72789">
              <w:rPr>
                <w:noProof/>
              </w:rPr>
              <w:drawing>
                <wp:inline distT="0" distB="0" distL="0" distR="0" wp14:anchorId="7D2B4D63" wp14:editId="0144D398">
                  <wp:extent cx="1162050" cy="647700"/>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2050" cy="647700"/>
                          </a:xfrm>
                          <a:prstGeom prst="rect">
                            <a:avLst/>
                          </a:prstGeom>
                          <a:noFill/>
                          <a:ln>
                            <a:noFill/>
                          </a:ln>
                        </pic:spPr>
                      </pic:pic>
                    </a:graphicData>
                  </a:graphic>
                </wp:inline>
              </w:drawing>
            </w:r>
          </w:p>
        </w:tc>
      </w:tr>
    </w:tbl>
    <w:p w14:paraId="298F0850" w14:textId="77777777" w:rsidR="008E7632" w:rsidRPr="00A72789" w:rsidRDefault="008E7632" w:rsidP="008E7632">
      <w:pPr>
        <w:pStyle w:val="LineTop"/>
        <w:rPr>
          <w:lang w:val="en-GB"/>
        </w:rPr>
      </w:pPr>
    </w:p>
    <w:p w14:paraId="6F3EA307" w14:textId="77777777" w:rsidR="008E7632" w:rsidRPr="00A72789" w:rsidRDefault="00CC1407" w:rsidP="008E7632">
      <w:pPr>
        <w:pStyle w:val="ZSessionDoc"/>
        <w:rPr>
          <w:b/>
          <w:i w:val="0"/>
        </w:rPr>
      </w:pPr>
      <w:r w:rsidRPr="00A72789">
        <w:rPr>
          <w:b/>
          <w:i w:val="0"/>
        </w:rPr>
        <w:t>TEXTS ADOPTED</w:t>
      </w:r>
    </w:p>
    <w:p w14:paraId="510125B3" w14:textId="77777777" w:rsidR="008E7632" w:rsidRPr="00A72789" w:rsidRDefault="00CC1407" w:rsidP="008E7632">
      <w:pPr>
        <w:pStyle w:val="LineBottom"/>
      </w:pPr>
      <w:r w:rsidRPr="00A72789">
        <w:rPr>
          <w:rFonts w:cs="Arial"/>
          <w:i/>
          <w:sz w:val="20"/>
          <w:szCs w:val="22"/>
        </w:rPr>
        <w:t xml:space="preserve"> </w:t>
      </w:r>
    </w:p>
    <w:p w14:paraId="34101C12" w14:textId="5298C15D" w:rsidR="009C4014" w:rsidRPr="00A72789" w:rsidRDefault="00CC1407" w:rsidP="008E7632">
      <w:pPr>
        <w:pStyle w:val="ATHeading1"/>
        <w:spacing w:before="480"/>
        <w:rPr>
          <w:lang w:val="en-GB"/>
        </w:rPr>
      </w:pPr>
      <w:bookmarkStart w:id="0" w:name="TA_Heading"/>
      <w:r w:rsidRPr="00A72789">
        <w:rPr>
          <w:lang w:val="en-GB"/>
        </w:rPr>
        <w:t>P</w:t>
      </w:r>
      <w:r w:rsidRPr="0000435B">
        <w:rPr>
          <w:lang w:val="en-GB"/>
        </w:rPr>
        <w:t>9</w:t>
      </w:r>
      <w:r w:rsidRPr="00A72789">
        <w:rPr>
          <w:lang w:val="en-GB"/>
        </w:rPr>
        <w:t>_TA(</w:t>
      </w:r>
      <w:r w:rsidRPr="0000435B">
        <w:rPr>
          <w:lang w:val="en-GB"/>
        </w:rPr>
        <w:t>2024</w:t>
      </w:r>
      <w:r w:rsidRPr="00A72789">
        <w:rPr>
          <w:lang w:val="en-GB"/>
        </w:rPr>
        <w:t>)</w:t>
      </w:r>
      <w:bookmarkStart w:id="1" w:name="TANumber"/>
      <w:bookmarkEnd w:id="0"/>
      <w:r w:rsidRPr="0000435B">
        <w:rPr>
          <w:lang w:val="en-GB"/>
        </w:rPr>
        <w:t>0</w:t>
      </w:r>
      <w:r w:rsidR="009B4E2F" w:rsidRPr="0000435B">
        <w:rPr>
          <w:lang w:val="en-GB"/>
        </w:rPr>
        <w:t>344</w:t>
      </w:r>
      <w:bookmarkEnd w:id="1"/>
    </w:p>
    <w:p w14:paraId="6911A26C" w14:textId="77777777" w:rsidR="009C4014" w:rsidRPr="00A72789" w:rsidRDefault="00D32EA1" w:rsidP="00CC1407">
      <w:pPr>
        <w:pStyle w:val="ATHeading2"/>
        <w:rPr>
          <w:lang w:val="en-GB"/>
        </w:rPr>
      </w:pPr>
      <w:bookmarkStart w:id="2" w:name="title"/>
      <w:r w:rsidRPr="00A72789">
        <w:rPr>
          <w:lang w:val="en-GB"/>
        </w:rPr>
        <w:t>Simplification of certain CAP rules</w:t>
      </w:r>
      <w:bookmarkEnd w:id="2"/>
      <w:r w:rsidR="009C4014" w:rsidRPr="00A72789">
        <w:rPr>
          <w:lang w:val="en-GB"/>
        </w:rPr>
        <w:t xml:space="preserve"> </w:t>
      </w:r>
      <w:bookmarkStart w:id="3" w:name="Etoiles"/>
      <w:bookmarkEnd w:id="3"/>
    </w:p>
    <w:p w14:paraId="6490F8CD" w14:textId="77777777" w:rsidR="009C4014" w:rsidRPr="00A72789" w:rsidRDefault="009C4014" w:rsidP="009C4014">
      <w:pPr>
        <w:rPr>
          <w:i/>
          <w:vanish/>
          <w:lang w:val="en-GB"/>
        </w:rPr>
      </w:pPr>
      <w:r w:rsidRPr="00A72789">
        <w:rPr>
          <w:i/>
        </w:rPr>
        <w:fldChar w:fldCharType="begin"/>
      </w:r>
      <w:r w:rsidRPr="00A72789">
        <w:rPr>
          <w:i/>
          <w:lang w:val="en-GB"/>
        </w:rPr>
        <w:instrText xml:space="preserve"> TC"</w:instrText>
      </w:r>
      <w:bookmarkStart w:id="4" w:name="DocNumber"/>
      <w:r w:rsidR="00CC1407" w:rsidRPr="00A72789">
        <w:rPr>
          <w:i/>
          <w:lang w:val="en-GB"/>
        </w:rPr>
        <w:instrText>(C</w:instrText>
      </w:r>
      <w:r w:rsidR="00CC1407" w:rsidRPr="0000435B">
        <w:rPr>
          <w:i/>
          <w:lang w:val="en-GB"/>
        </w:rPr>
        <w:instrText>9</w:instrText>
      </w:r>
      <w:r w:rsidR="00CC1407" w:rsidRPr="00A72789">
        <w:rPr>
          <w:i/>
          <w:lang w:val="en-GB"/>
        </w:rPr>
        <w:instrText>-</w:instrText>
      </w:r>
      <w:r w:rsidR="00CC1407" w:rsidRPr="0000435B">
        <w:rPr>
          <w:i/>
          <w:lang w:val="en-GB"/>
        </w:rPr>
        <w:instrText>0120</w:instrText>
      </w:r>
      <w:r w:rsidR="00CC1407" w:rsidRPr="00A72789">
        <w:rPr>
          <w:i/>
          <w:lang w:val="en-GB"/>
        </w:rPr>
        <w:instrText>/</w:instrText>
      </w:r>
      <w:r w:rsidR="00CC1407" w:rsidRPr="0000435B">
        <w:rPr>
          <w:i/>
          <w:lang w:val="en-GB"/>
        </w:rPr>
        <w:instrText>2024</w:instrText>
      </w:r>
      <w:r w:rsidR="00CC1407" w:rsidRPr="00A72789">
        <w:rPr>
          <w:i/>
          <w:lang w:val="en-GB"/>
        </w:rPr>
        <w:instrText>)</w:instrText>
      </w:r>
      <w:bookmarkEnd w:id="4"/>
      <w:r w:rsidRPr="00A72789">
        <w:rPr>
          <w:i/>
          <w:lang w:val="en-GB"/>
        </w:rPr>
        <w:instrText>"\l</w:instrText>
      </w:r>
      <w:r w:rsidRPr="0000435B">
        <w:rPr>
          <w:i/>
          <w:lang w:val="en-GB"/>
        </w:rPr>
        <w:instrText>3</w:instrText>
      </w:r>
      <w:r w:rsidRPr="00A72789">
        <w:rPr>
          <w:i/>
          <w:lang w:val="en-GB"/>
        </w:rPr>
        <w:instrText xml:space="preserve"> \n&gt; \* MERGEFORMAT </w:instrText>
      </w:r>
      <w:r w:rsidRPr="00A72789">
        <w:rPr>
          <w:i/>
        </w:rPr>
        <w:fldChar w:fldCharType="end"/>
      </w:r>
    </w:p>
    <w:p w14:paraId="28A5BC12" w14:textId="77777777" w:rsidR="00CC1407" w:rsidRPr="00A72789" w:rsidRDefault="00CC1407" w:rsidP="009C4014">
      <w:pPr>
        <w:rPr>
          <w:vanish/>
          <w:lang w:val="en-GB"/>
        </w:rPr>
      </w:pPr>
      <w:bookmarkStart w:id="5" w:name="Commission"/>
      <w:r w:rsidRPr="00A72789">
        <w:rPr>
          <w:vanish/>
          <w:lang w:val="en-GB"/>
        </w:rPr>
        <w:t>Committee on Agriculture and Rural Development</w:t>
      </w:r>
    </w:p>
    <w:p w14:paraId="792CD215" w14:textId="707EB358" w:rsidR="009C4014" w:rsidRPr="00A72789" w:rsidRDefault="00AA7D06" w:rsidP="009C4014">
      <w:pPr>
        <w:rPr>
          <w:vanish/>
          <w:lang w:val="en-GB"/>
        </w:rPr>
      </w:pPr>
      <w:bookmarkStart w:id="6" w:name="PE"/>
      <w:bookmarkEnd w:id="5"/>
      <w:r w:rsidRPr="00A72789">
        <w:rPr>
          <w:vanish/>
          <w:lang w:val="en-GB"/>
        </w:rPr>
        <w:t>PE</w:t>
      </w:r>
      <w:r w:rsidRPr="0000435B">
        <w:rPr>
          <w:vanish/>
          <w:lang w:val="en-GB"/>
        </w:rPr>
        <w:t>76</w:t>
      </w:r>
      <w:r w:rsidR="00CD4A5D">
        <w:rPr>
          <w:vanish/>
          <w:lang w:val="en-GB"/>
        </w:rPr>
        <w:t>1.</w:t>
      </w:r>
      <w:r w:rsidR="00CD4A5D" w:rsidRPr="0000435B">
        <w:rPr>
          <w:vanish/>
          <w:lang w:val="en-GB"/>
        </w:rPr>
        <w:t>367</w:t>
      </w:r>
      <w:bookmarkEnd w:id="6"/>
    </w:p>
    <w:p w14:paraId="47845DC6" w14:textId="7EB223CD" w:rsidR="009C4014" w:rsidRPr="00A72789" w:rsidRDefault="00CC1407" w:rsidP="00CC1407">
      <w:pPr>
        <w:pStyle w:val="ATHeading3"/>
        <w:rPr>
          <w:lang w:val="en-GB"/>
        </w:rPr>
      </w:pPr>
      <w:bookmarkStart w:id="7" w:name="Sujet"/>
      <w:r w:rsidRPr="00A72789">
        <w:rPr>
          <w:lang w:val="en-GB"/>
        </w:rPr>
        <w:t xml:space="preserve">European Parliament legislative resolution of </w:t>
      </w:r>
      <w:r w:rsidR="00236309" w:rsidRPr="0000435B">
        <w:rPr>
          <w:lang w:val="en-GB"/>
        </w:rPr>
        <w:t>24</w:t>
      </w:r>
      <w:r w:rsidR="00CB2267" w:rsidRPr="00A72789">
        <w:rPr>
          <w:lang w:val="en-GB"/>
        </w:rPr>
        <w:t xml:space="preserve"> </w:t>
      </w:r>
      <w:r w:rsidRPr="00A72789">
        <w:rPr>
          <w:lang w:val="en-GB"/>
        </w:rPr>
        <w:t xml:space="preserve">April </w:t>
      </w:r>
      <w:r w:rsidRPr="0000435B">
        <w:rPr>
          <w:lang w:val="en-GB"/>
        </w:rPr>
        <w:t>2024</w:t>
      </w:r>
      <w:r w:rsidRPr="00A72789">
        <w:rPr>
          <w:lang w:val="en-GB"/>
        </w:rPr>
        <w:t xml:space="preserve"> on the proposal for a </w:t>
      </w:r>
      <w:bookmarkStart w:id="8" w:name="References"/>
      <w:bookmarkEnd w:id="7"/>
      <w:r w:rsidRPr="00A72789">
        <w:rPr>
          <w:lang w:val="en-GB"/>
        </w:rPr>
        <w:t xml:space="preserve">Regulation of the European Parliament and of the Council amending Regulations (EU) </w:t>
      </w:r>
      <w:r w:rsidRPr="0000435B">
        <w:rPr>
          <w:lang w:val="en-GB"/>
        </w:rPr>
        <w:t>2021</w:t>
      </w:r>
      <w:r w:rsidRPr="00A72789">
        <w:rPr>
          <w:lang w:val="en-GB"/>
        </w:rPr>
        <w:t>/</w:t>
      </w:r>
      <w:r w:rsidRPr="0000435B">
        <w:rPr>
          <w:lang w:val="en-GB"/>
        </w:rPr>
        <w:t>2115</w:t>
      </w:r>
      <w:r w:rsidRPr="00A72789">
        <w:rPr>
          <w:lang w:val="en-GB"/>
        </w:rPr>
        <w:t xml:space="preserve"> and (EU) </w:t>
      </w:r>
      <w:r w:rsidRPr="0000435B">
        <w:rPr>
          <w:lang w:val="en-GB"/>
        </w:rPr>
        <w:t>2021</w:t>
      </w:r>
      <w:r w:rsidRPr="00A72789">
        <w:rPr>
          <w:lang w:val="en-GB"/>
        </w:rPr>
        <w:t>/</w:t>
      </w:r>
      <w:r w:rsidRPr="0000435B">
        <w:rPr>
          <w:lang w:val="en-GB"/>
        </w:rPr>
        <w:t>2116</w:t>
      </w:r>
      <w:r w:rsidRPr="00A72789">
        <w:rPr>
          <w:lang w:val="en-GB"/>
        </w:rPr>
        <w:t xml:space="preserve"> as regards good agricultural and environmental condition standards, schemes for climate, environment and animal welfare, amendments to CAP Strategic Plans, review of CAP Strategic Plans and exemptions from controls and penalties</w:t>
      </w:r>
      <w:r w:rsidR="0000435B">
        <w:rPr>
          <w:lang w:val="en-GB"/>
        </w:rPr>
        <w:t xml:space="preserve"> </w:t>
      </w:r>
      <w:r w:rsidRPr="00A72789">
        <w:rPr>
          <w:lang w:val="en-GB"/>
        </w:rPr>
        <w:t>(COM(</w:t>
      </w:r>
      <w:r w:rsidRPr="0000435B">
        <w:rPr>
          <w:lang w:val="en-GB"/>
        </w:rPr>
        <w:t>2024</w:t>
      </w:r>
      <w:r w:rsidRPr="00A72789">
        <w:rPr>
          <w:lang w:val="en-GB"/>
        </w:rPr>
        <w:t>)</w:t>
      </w:r>
      <w:r w:rsidRPr="0000435B">
        <w:rPr>
          <w:lang w:val="en-GB"/>
        </w:rPr>
        <w:t>0139</w:t>
      </w:r>
      <w:r w:rsidRPr="00A72789">
        <w:rPr>
          <w:lang w:val="en-GB"/>
        </w:rPr>
        <w:t xml:space="preserve"> – C</w:t>
      </w:r>
      <w:r w:rsidRPr="0000435B">
        <w:rPr>
          <w:lang w:val="en-GB"/>
        </w:rPr>
        <w:t>9</w:t>
      </w:r>
      <w:r w:rsidRPr="00A72789">
        <w:rPr>
          <w:lang w:val="en-GB"/>
        </w:rPr>
        <w:t>-</w:t>
      </w:r>
      <w:r w:rsidRPr="0000435B">
        <w:rPr>
          <w:lang w:val="en-GB"/>
        </w:rPr>
        <w:t>0120</w:t>
      </w:r>
      <w:r w:rsidRPr="00A72789">
        <w:rPr>
          <w:lang w:val="en-GB"/>
        </w:rPr>
        <w:t>/</w:t>
      </w:r>
      <w:r w:rsidRPr="0000435B">
        <w:rPr>
          <w:lang w:val="en-GB"/>
        </w:rPr>
        <w:t>2024</w:t>
      </w:r>
      <w:r w:rsidRPr="00A72789">
        <w:rPr>
          <w:lang w:val="en-GB"/>
        </w:rPr>
        <w:t xml:space="preserve"> – </w:t>
      </w:r>
      <w:r w:rsidRPr="0000435B">
        <w:rPr>
          <w:lang w:val="en-GB"/>
        </w:rPr>
        <w:t>2024</w:t>
      </w:r>
      <w:r w:rsidRPr="00A72789">
        <w:rPr>
          <w:lang w:val="en-GB"/>
        </w:rPr>
        <w:t>/</w:t>
      </w:r>
      <w:r w:rsidRPr="0000435B">
        <w:rPr>
          <w:lang w:val="en-GB"/>
        </w:rPr>
        <w:t>0073</w:t>
      </w:r>
      <w:r w:rsidRPr="00A72789">
        <w:rPr>
          <w:lang w:val="en-GB"/>
        </w:rPr>
        <w:t>(COD))</w:t>
      </w:r>
      <w:bookmarkEnd w:id="8"/>
    </w:p>
    <w:p w14:paraId="3C0E4F5E" w14:textId="77777777" w:rsidR="00AE01EA" w:rsidRPr="00A72789" w:rsidRDefault="00AE01EA" w:rsidP="00AE01EA">
      <w:pPr>
        <w:rPr>
          <w:lang w:val="en-GB"/>
        </w:rPr>
      </w:pPr>
      <w:bookmarkStart w:id="9" w:name="TextBodyBegin"/>
      <w:bookmarkEnd w:id="9"/>
      <w:r w:rsidRPr="00A72789">
        <w:rPr>
          <w:b/>
          <w:lang w:val="en-GB"/>
        </w:rPr>
        <w:t>(Ordinary legislative procedure: first reading)</w:t>
      </w:r>
    </w:p>
    <w:p w14:paraId="0C07AC35" w14:textId="77777777" w:rsidR="00AE01EA" w:rsidRPr="00A72789" w:rsidRDefault="00AE01EA" w:rsidP="00AE01EA">
      <w:pPr>
        <w:pStyle w:val="Normal12"/>
        <w:spacing w:before="360"/>
        <w:rPr>
          <w:i/>
          <w:szCs w:val="24"/>
        </w:rPr>
      </w:pPr>
      <w:r w:rsidRPr="00A72789">
        <w:rPr>
          <w:i/>
          <w:szCs w:val="24"/>
        </w:rPr>
        <w:t>The European Parliament,</w:t>
      </w:r>
    </w:p>
    <w:p w14:paraId="1D6625AD" w14:textId="77777777" w:rsidR="00AE01EA" w:rsidRPr="00A72789" w:rsidRDefault="00AE01EA" w:rsidP="00AE01EA">
      <w:pPr>
        <w:widowControl w:val="0"/>
        <w:snapToGrid w:val="0"/>
        <w:spacing w:after="240"/>
        <w:ind w:left="567" w:hanging="567"/>
        <w:rPr>
          <w:lang w:val="en-GB"/>
        </w:rPr>
      </w:pPr>
      <w:r w:rsidRPr="00A72789">
        <w:rPr>
          <w:lang w:val="en-GB"/>
        </w:rPr>
        <w:t>–</w:t>
      </w:r>
      <w:r w:rsidRPr="00A72789">
        <w:rPr>
          <w:lang w:val="en-GB"/>
        </w:rPr>
        <w:tab/>
        <w:t>having regard to the Commission proposal to Parliament and the Council (COM(</w:t>
      </w:r>
      <w:r w:rsidRPr="0000435B">
        <w:rPr>
          <w:lang w:val="en-GB"/>
        </w:rPr>
        <w:t>2024</w:t>
      </w:r>
      <w:r w:rsidRPr="00A72789">
        <w:rPr>
          <w:lang w:val="en-GB"/>
        </w:rPr>
        <w:t>)</w:t>
      </w:r>
      <w:r w:rsidRPr="0000435B">
        <w:rPr>
          <w:lang w:val="en-GB"/>
        </w:rPr>
        <w:t>0139</w:t>
      </w:r>
      <w:r w:rsidRPr="00A72789">
        <w:rPr>
          <w:lang w:val="en-GB"/>
        </w:rPr>
        <w:t>),</w:t>
      </w:r>
    </w:p>
    <w:p w14:paraId="72C02F11" w14:textId="77777777" w:rsidR="00AE01EA" w:rsidRPr="00A72789" w:rsidRDefault="00AE01EA" w:rsidP="00AE01EA">
      <w:pPr>
        <w:widowControl w:val="0"/>
        <w:snapToGrid w:val="0"/>
        <w:spacing w:after="240"/>
        <w:ind w:left="567" w:hanging="567"/>
        <w:rPr>
          <w:lang w:val="en-GB"/>
        </w:rPr>
      </w:pPr>
      <w:r w:rsidRPr="00A72789">
        <w:rPr>
          <w:lang w:val="en-GB"/>
        </w:rPr>
        <w:t>–</w:t>
      </w:r>
      <w:r w:rsidRPr="00A72789">
        <w:rPr>
          <w:lang w:val="en-GB"/>
        </w:rPr>
        <w:tab/>
        <w:t>having regard to Article </w:t>
      </w:r>
      <w:r w:rsidRPr="0000435B">
        <w:rPr>
          <w:lang w:val="en-GB"/>
        </w:rPr>
        <w:t>294</w:t>
      </w:r>
      <w:r w:rsidRPr="00A72789">
        <w:rPr>
          <w:lang w:val="en-GB"/>
        </w:rPr>
        <w:t>(</w:t>
      </w:r>
      <w:r w:rsidRPr="0000435B">
        <w:rPr>
          <w:lang w:val="en-GB"/>
        </w:rPr>
        <w:t>2</w:t>
      </w:r>
      <w:r w:rsidRPr="00A72789">
        <w:rPr>
          <w:lang w:val="en-GB"/>
        </w:rPr>
        <w:t xml:space="preserve">) and </w:t>
      </w:r>
      <w:r w:rsidRPr="0000435B">
        <w:rPr>
          <w:lang w:val="en-GB"/>
        </w:rPr>
        <w:t>43</w:t>
      </w:r>
      <w:r w:rsidRPr="00A72789">
        <w:rPr>
          <w:lang w:val="en-GB"/>
        </w:rPr>
        <w:t>(</w:t>
      </w:r>
      <w:r w:rsidRPr="0000435B">
        <w:rPr>
          <w:lang w:val="en-GB"/>
        </w:rPr>
        <w:t>2</w:t>
      </w:r>
      <w:r w:rsidRPr="00A72789">
        <w:rPr>
          <w:lang w:val="en-GB"/>
        </w:rPr>
        <w:t>) of the Treaty on the Functioning of the European Union, pursuant to which the Commission submitted the proposal to Parliament (C</w:t>
      </w:r>
      <w:r w:rsidRPr="0000435B">
        <w:rPr>
          <w:lang w:val="en-GB"/>
        </w:rPr>
        <w:t>9</w:t>
      </w:r>
      <w:r w:rsidRPr="00A72789">
        <w:rPr>
          <w:lang w:val="en-GB"/>
        </w:rPr>
        <w:t>-</w:t>
      </w:r>
      <w:r w:rsidRPr="0000435B">
        <w:rPr>
          <w:lang w:val="en-GB"/>
        </w:rPr>
        <w:t>0120</w:t>
      </w:r>
      <w:r w:rsidRPr="00A72789">
        <w:rPr>
          <w:lang w:val="en-GB"/>
        </w:rPr>
        <w:t>/</w:t>
      </w:r>
      <w:r w:rsidRPr="0000435B">
        <w:rPr>
          <w:lang w:val="en-GB"/>
        </w:rPr>
        <w:t>2024</w:t>
      </w:r>
      <w:r w:rsidRPr="00A72789">
        <w:rPr>
          <w:lang w:val="en-GB"/>
        </w:rPr>
        <w:t>),</w:t>
      </w:r>
    </w:p>
    <w:p w14:paraId="51DA9B7B" w14:textId="77777777" w:rsidR="00AE01EA" w:rsidRPr="00A72789" w:rsidRDefault="00AE01EA" w:rsidP="00AE01EA">
      <w:pPr>
        <w:widowControl w:val="0"/>
        <w:snapToGrid w:val="0"/>
        <w:spacing w:after="240"/>
        <w:ind w:left="567" w:hanging="567"/>
        <w:rPr>
          <w:lang w:val="en-GB"/>
        </w:rPr>
      </w:pPr>
      <w:r w:rsidRPr="00A72789">
        <w:rPr>
          <w:lang w:val="en-GB"/>
        </w:rPr>
        <w:t>–</w:t>
      </w:r>
      <w:r w:rsidRPr="00A72789">
        <w:rPr>
          <w:lang w:val="en-GB"/>
        </w:rPr>
        <w:tab/>
        <w:t>having regard to Article </w:t>
      </w:r>
      <w:r w:rsidRPr="0000435B">
        <w:rPr>
          <w:lang w:val="en-GB"/>
        </w:rPr>
        <w:t>294</w:t>
      </w:r>
      <w:r w:rsidRPr="00A72789">
        <w:rPr>
          <w:lang w:val="en-GB"/>
        </w:rPr>
        <w:t>(</w:t>
      </w:r>
      <w:r w:rsidRPr="0000435B">
        <w:rPr>
          <w:lang w:val="en-GB"/>
        </w:rPr>
        <w:t>3</w:t>
      </w:r>
      <w:r w:rsidRPr="00A72789">
        <w:rPr>
          <w:lang w:val="en-GB"/>
        </w:rPr>
        <w:t>) of the Treaty on the Functioning of the European Union,</w:t>
      </w:r>
    </w:p>
    <w:p w14:paraId="4A8BA4B6" w14:textId="52434498" w:rsidR="00AE01EA" w:rsidRPr="00A72789" w:rsidRDefault="00AE01EA" w:rsidP="00AE01EA">
      <w:pPr>
        <w:widowControl w:val="0"/>
        <w:snapToGrid w:val="0"/>
        <w:spacing w:after="240"/>
        <w:ind w:left="567" w:hanging="567"/>
        <w:rPr>
          <w:lang w:val="en-GB"/>
        </w:rPr>
      </w:pPr>
      <w:r w:rsidRPr="00A72789">
        <w:rPr>
          <w:lang w:val="en-GB"/>
        </w:rPr>
        <w:t>–</w:t>
      </w:r>
      <w:r w:rsidRPr="00A72789">
        <w:rPr>
          <w:lang w:val="en-GB"/>
        </w:rPr>
        <w:tab/>
        <w:t xml:space="preserve">having regard to the opinion of the European Economic and Social Committee of </w:t>
      </w:r>
      <w:r w:rsidR="00102D57" w:rsidRPr="0000435B">
        <w:rPr>
          <w:lang w:val="en-GB"/>
        </w:rPr>
        <w:t>24</w:t>
      </w:r>
      <w:r w:rsidR="00102D57" w:rsidRPr="00A72789">
        <w:rPr>
          <w:lang w:val="en-GB"/>
        </w:rPr>
        <w:t xml:space="preserve"> </w:t>
      </w:r>
      <w:r w:rsidR="00EF2CA1" w:rsidRPr="00A72789">
        <w:rPr>
          <w:lang w:val="en-GB"/>
        </w:rPr>
        <w:t>April</w:t>
      </w:r>
      <w:r w:rsidRPr="00A72789">
        <w:rPr>
          <w:lang w:val="en-GB"/>
        </w:rPr>
        <w:t xml:space="preserve"> </w:t>
      </w:r>
      <w:r w:rsidRPr="0000435B">
        <w:rPr>
          <w:lang w:val="en-GB"/>
        </w:rPr>
        <w:t>2024</w:t>
      </w:r>
      <w:r w:rsidRPr="00A72789">
        <w:rPr>
          <w:vertAlign w:val="superscript"/>
          <w:lang w:val="en-GB"/>
        </w:rPr>
        <w:footnoteReference w:id="1"/>
      </w:r>
      <w:r w:rsidRPr="00A72789">
        <w:rPr>
          <w:lang w:val="en-GB"/>
        </w:rPr>
        <w:t>,</w:t>
      </w:r>
    </w:p>
    <w:p w14:paraId="6A3AAA97" w14:textId="77777777" w:rsidR="00AE01EA" w:rsidRPr="00A72789" w:rsidRDefault="00AE01EA" w:rsidP="00AE01EA">
      <w:pPr>
        <w:widowControl w:val="0"/>
        <w:snapToGrid w:val="0"/>
        <w:spacing w:after="240"/>
        <w:ind w:left="567" w:hanging="567"/>
        <w:rPr>
          <w:lang w:val="en-GB"/>
        </w:rPr>
      </w:pPr>
      <w:r w:rsidRPr="00A72789">
        <w:rPr>
          <w:lang w:val="en-GB"/>
        </w:rPr>
        <w:t>–</w:t>
      </w:r>
      <w:r w:rsidRPr="00A72789">
        <w:rPr>
          <w:lang w:val="en-GB"/>
        </w:rPr>
        <w:tab/>
      </w:r>
      <w:r w:rsidRPr="00A72789">
        <w:rPr>
          <w:szCs w:val="24"/>
          <w:lang w:val="en-GB"/>
        </w:rPr>
        <w:t xml:space="preserve">having regard to the undertaking given by the Council representative by letter of </w:t>
      </w:r>
      <w:r w:rsidR="00EF2CA1" w:rsidRPr="0000435B">
        <w:rPr>
          <w:szCs w:val="24"/>
          <w:lang w:val="en-GB"/>
        </w:rPr>
        <w:t>26</w:t>
      </w:r>
      <w:r w:rsidRPr="00A72789">
        <w:rPr>
          <w:szCs w:val="24"/>
          <w:lang w:val="en-GB"/>
        </w:rPr>
        <w:t xml:space="preserve"> </w:t>
      </w:r>
      <w:r w:rsidR="00EF2CA1" w:rsidRPr="00A72789">
        <w:rPr>
          <w:szCs w:val="24"/>
          <w:lang w:val="en-GB"/>
        </w:rPr>
        <w:t>March</w:t>
      </w:r>
      <w:r w:rsidRPr="00A72789">
        <w:rPr>
          <w:szCs w:val="24"/>
          <w:lang w:val="en-GB"/>
        </w:rPr>
        <w:t xml:space="preserve"> </w:t>
      </w:r>
      <w:r w:rsidRPr="0000435B">
        <w:rPr>
          <w:szCs w:val="24"/>
          <w:lang w:val="en-GB"/>
        </w:rPr>
        <w:t>2024</w:t>
      </w:r>
      <w:r w:rsidRPr="00A72789">
        <w:rPr>
          <w:szCs w:val="24"/>
          <w:lang w:val="en-GB"/>
        </w:rPr>
        <w:t xml:space="preserve"> to approve Parliament’s position, in accordance with Article </w:t>
      </w:r>
      <w:r w:rsidRPr="0000435B">
        <w:rPr>
          <w:szCs w:val="24"/>
          <w:lang w:val="en-GB"/>
        </w:rPr>
        <w:t>294</w:t>
      </w:r>
      <w:r w:rsidRPr="00A72789">
        <w:rPr>
          <w:szCs w:val="24"/>
          <w:lang w:val="en-GB"/>
        </w:rPr>
        <w:t>(</w:t>
      </w:r>
      <w:r w:rsidRPr="0000435B">
        <w:rPr>
          <w:szCs w:val="24"/>
          <w:lang w:val="en-GB"/>
        </w:rPr>
        <w:t>4</w:t>
      </w:r>
      <w:r w:rsidRPr="00A72789">
        <w:rPr>
          <w:szCs w:val="24"/>
          <w:lang w:val="en-GB"/>
        </w:rPr>
        <w:t>) of the Treaty on the Functioning of the European Union,</w:t>
      </w:r>
    </w:p>
    <w:p w14:paraId="67AF3FD7" w14:textId="77777777" w:rsidR="00AE01EA" w:rsidRPr="00A72789" w:rsidRDefault="00AE01EA" w:rsidP="00AE01EA">
      <w:pPr>
        <w:widowControl w:val="0"/>
        <w:snapToGrid w:val="0"/>
        <w:spacing w:after="240"/>
        <w:ind w:left="567" w:hanging="567"/>
        <w:rPr>
          <w:lang w:val="en-GB"/>
        </w:rPr>
      </w:pPr>
      <w:r w:rsidRPr="00A72789">
        <w:rPr>
          <w:lang w:val="en-GB"/>
        </w:rPr>
        <w:t>–</w:t>
      </w:r>
      <w:r w:rsidRPr="00A72789">
        <w:rPr>
          <w:lang w:val="en-GB"/>
        </w:rPr>
        <w:tab/>
        <w:t xml:space="preserve">having regard to Rules </w:t>
      </w:r>
      <w:r w:rsidRPr="0000435B">
        <w:rPr>
          <w:lang w:val="en-GB"/>
        </w:rPr>
        <w:t>59</w:t>
      </w:r>
      <w:r w:rsidRPr="00A72789">
        <w:rPr>
          <w:lang w:val="en-GB"/>
        </w:rPr>
        <w:t xml:space="preserve"> and </w:t>
      </w:r>
      <w:r w:rsidRPr="0000435B">
        <w:rPr>
          <w:lang w:val="en-GB"/>
        </w:rPr>
        <w:t>163</w:t>
      </w:r>
      <w:r w:rsidRPr="00A72789">
        <w:rPr>
          <w:lang w:val="en-GB"/>
        </w:rPr>
        <w:t xml:space="preserve"> of its Rules of Procedure,</w:t>
      </w:r>
    </w:p>
    <w:p w14:paraId="493104E7" w14:textId="77777777" w:rsidR="00AE01EA" w:rsidRPr="00A72789" w:rsidRDefault="00AE01EA" w:rsidP="00AE01EA">
      <w:pPr>
        <w:widowControl w:val="0"/>
        <w:snapToGrid w:val="0"/>
        <w:spacing w:after="240"/>
        <w:ind w:left="567" w:hanging="567"/>
        <w:rPr>
          <w:lang w:val="en-GB"/>
        </w:rPr>
      </w:pPr>
      <w:r w:rsidRPr="0000435B">
        <w:rPr>
          <w:lang w:val="en-GB"/>
        </w:rPr>
        <w:t>1</w:t>
      </w:r>
      <w:r w:rsidRPr="00A72789">
        <w:rPr>
          <w:lang w:val="en-GB"/>
        </w:rPr>
        <w:t>.</w:t>
      </w:r>
      <w:r w:rsidRPr="00A72789">
        <w:rPr>
          <w:lang w:val="en-GB"/>
        </w:rPr>
        <w:tab/>
        <w:t>Adopts its position at first reading</w:t>
      </w:r>
      <w:r w:rsidRPr="00A72789">
        <w:rPr>
          <w:sz w:val="20"/>
          <w:szCs w:val="24"/>
          <w:lang w:val="en-GB"/>
        </w:rPr>
        <w:t xml:space="preserve"> </w:t>
      </w:r>
      <w:r w:rsidRPr="00A72789">
        <w:rPr>
          <w:lang w:val="en-GB"/>
        </w:rPr>
        <w:t>hereinafter set out;</w:t>
      </w:r>
    </w:p>
    <w:p w14:paraId="7895FE09" w14:textId="77777777" w:rsidR="00AE01EA" w:rsidRPr="00A72789" w:rsidRDefault="00AE01EA" w:rsidP="00AE01EA">
      <w:pPr>
        <w:widowControl w:val="0"/>
        <w:snapToGrid w:val="0"/>
        <w:spacing w:after="240"/>
        <w:ind w:left="567" w:hanging="567"/>
        <w:rPr>
          <w:lang w:val="en-GB"/>
        </w:rPr>
      </w:pPr>
      <w:r w:rsidRPr="0000435B">
        <w:rPr>
          <w:lang w:val="en-GB"/>
        </w:rPr>
        <w:t>2</w:t>
      </w:r>
      <w:r w:rsidRPr="00A72789">
        <w:rPr>
          <w:lang w:val="en-GB"/>
        </w:rPr>
        <w:t>.</w:t>
      </w:r>
      <w:r w:rsidRPr="00A72789">
        <w:rPr>
          <w:lang w:val="en-GB"/>
        </w:rPr>
        <w:tab/>
        <w:t xml:space="preserve">Calls on the Commission to refer the matter to Parliament again if it replaces, </w:t>
      </w:r>
      <w:r w:rsidRPr="00A72789">
        <w:rPr>
          <w:lang w:val="en-GB"/>
        </w:rPr>
        <w:lastRenderedPageBreak/>
        <w:t>substantially amends or intends to substantially amend its proposal;</w:t>
      </w:r>
    </w:p>
    <w:p w14:paraId="2D3FA398" w14:textId="77777777" w:rsidR="00AE01EA" w:rsidRPr="00A72789" w:rsidRDefault="00AE01EA" w:rsidP="00AE01EA">
      <w:pPr>
        <w:widowControl w:val="0"/>
        <w:snapToGrid w:val="0"/>
        <w:spacing w:after="240"/>
        <w:ind w:left="567" w:hanging="567"/>
        <w:rPr>
          <w:lang w:val="en-GB"/>
        </w:rPr>
        <w:sectPr w:rsidR="00AE01EA" w:rsidRPr="00A72789" w:rsidSect="0066651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type w:val="continuous"/>
          <w:pgSz w:w="11905" w:h="16837" w:code="9"/>
          <w:pgMar w:top="1134" w:right="1418" w:bottom="1418" w:left="1418" w:header="720" w:footer="397" w:gutter="0"/>
          <w:cols w:space="720"/>
          <w:noEndnote/>
          <w:docGrid w:linePitch="326"/>
        </w:sectPr>
      </w:pPr>
      <w:r w:rsidRPr="0000435B">
        <w:rPr>
          <w:lang w:val="en-GB"/>
        </w:rPr>
        <w:t>3</w:t>
      </w:r>
      <w:r w:rsidRPr="00A72789">
        <w:rPr>
          <w:lang w:val="en-GB"/>
        </w:rPr>
        <w:t>.</w:t>
      </w:r>
      <w:r w:rsidRPr="00A72789">
        <w:rPr>
          <w:lang w:val="en-GB"/>
        </w:rPr>
        <w:tab/>
        <w:t>Instructs its President to forward its position to the Council, the Commission and the national parliaments.</w:t>
      </w:r>
    </w:p>
    <w:p w14:paraId="7D73CFAA" w14:textId="77777777" w:rsidR="00AE01EA" w:rsidRPr="00A72789" w:rsidRDefault="00AE01EA" w:rsidP="00AE01EA">
      <w:pPr>
        <w:widowControl w:val="0"/>
        <w:autoSpaceDE w:val="0"/>
        <w:autoSpaceDN w:val="0"/>
        <w:adjustRightInd w:val="0"/>
        <w:spacing w:after="240"/>
        <w:rPr>
          <w:rFonts w:eastAsia="Calibri"/>
          <w:b/>
          <w:bCs/>
          <w:color w:val="000000"/>
          <w:szCs w:val="24"/>
          <w:lang w:val="en-GB"/>
        </w:rPr>
      </w:pPr>
      <w:r w:rsidRPr="00A72789">
        <w:rPr>
          <w:rFonts w:eastAsia="Calibri"/>
          <w:b/>
          <w:bCs/>
          <w:color w:val="000000"/>
          <w:szCs w:val="24"/>
          <w:lang w:val="en-GB"/>
        </w:rPr>
        <w:lastRenderedPageBreak/>
        <w:t>P</w:t>
      </w:r>
      <w:r w:rsidRPr="0000435B">
        <w:rPr>
          <w:rFonts w:eastAsia="Calibri"/>
          <w:b/>
          <w:bCs/>
          <w:color w:val="000000"/>
          <w:szCs w:val="24"/>
          <w:lang w:val="en-GB"/>
        </w:rPr>
        <w:t>9</w:t>
      </w:r>
      <w:r w:rsidRPr="00A72789">
        <w:rPr>
          <w:rFonts w:eastAsia="Calibri"/>
          <w:b/>
          <w:bCs/>
          <w:color w:val="000000"/>
          <w:szCs w:val="24"/>
          <w:lang w:val="en-GB"/>
        </w:rPr>
        <w:t>_TC</w:t>
      </w:r>
      <w:r w:rsidRPr="0000435B">
        <w:rPr>
          <w:rFonts w:eastAsia="Calibri"/>
          <w:b/>
          <w:bCs/>
          <w:color w:val="000000"/>
          <w:szCs w:val="24"/>
          <w:lang w:val="en-GB"/>
        </w:rPr>
        <w:t>1</w:t>
      </w:r>
      <w:r w:rsidRPr="00A72789">
        <w:rPr>
          <w:rFonts w:eastAsia="Calibri"/>
          <w:b/>
          <w:bCs/>
          <w:color w:val="000000"/>
          <w:szCs w:val="24"/>
          <w:lang w:val="en-GB"/>
        </w:rPr>
        <w:t>-COD(</w:t>
      </w:r>
      <w:r w:rsidRPr="0000435B">
        <w:rPr>
          <w:rFonts w:eastAsia="Calibri"/>
          <w:b/>
          <w:bCs/>
          <w:color w:val="000000"/>
          <w:szCs w:val="24"/>
          <w:lang w:val="en-GB"/>
        </w:rPr>
        <w:t>2024</w:t>
      </w:r>
      <w:r w:rsidRPr="00A72789">
        <w:rPr>
          <w:rFonts w:eastAsia="Calibri"/>
          <w:b/>
          <w:bCs/>
          <w:color w:val="000000"/>
          <w:szCs w:val="24"/>
          <w:lang w:val="en-GB"/>
        </w:rPr>
        <w:t>)</w:t>
      </w:r>
      <w:r w:rsidRPr="0000435B">
        <w:rPr>
          <w:rFonts w:eastAsia="Calibri"/>
          <w:b/>
          <w:bCs/>
          <w:color w:val="000000"/>
          <w:szCs w:val="24"/>
          <w:lang w:val="en-GB"/>
        </w:rPr>
        <w:t>0073</w:t>
      </w:r>
    </w:p>
    <w:p w14:paraId="5EF2979B" w14:textId="7A079C43" w:rsidR="00AE01EA" w:rsidRDefault="00AE01EA" w:rsidP="00AE01EA">
      <w:pPr>
        <w:autoSpaceDE w:val="0"/>
        <w:autoSpaceDN w:val="0"/>
        <w:adjustRightInd w:val="0"/>
        <w:spacing w:before="120" w:after="120"/>
        <w:rPr>
          <w:rFonts w:eastAsia="Calibri"/>
          <w:b/>
          <w:noProof/>
          <w:szCs w:val="22"/>
          <w:lang w:val="en-GB" w:eastAsia="en-US"/>
        </w:rPr>
      </w:pPr>
      <w:r w:rsidRPr="00A72789">
        <w:rPr>
          <w:rFonts w:eastAsia="Calibri"/>
          <w:b/>
          <w:bCs/>
          <w:szCs w:val="24"/>
          <w:lang w:val="en-GB"/>
        </w:rPr>
        <w:t>Position of the European Parliame</w:t>
      </w:r>
      <w:r w:rsidR="00EF2CA1" w:rsidRPr="00A72789">
        <w:rPr>
          <w:rFonts w:eastAsia="Calibri"/>
          <w:b/>
          <w:bCs/>
          <w:szCs w:val="24"/>
          <w:lang w:val="en-GB"/>
        </w:rPr>
        <w:t xml:space="preserve">nt adopted at first reading on </w:t>
      </w:r>
      <w:r w:rsidR="00CB2267" w:rsidRPr="0000435B">
        <w:rPr>
          <w:rFonts w:eastAsia="Calibri"/>
          <w:b/>
          <w:bCs/>
          <w:szCs w:val="24"/>
          <w:lang w:val="en-GB"/>
        </w:rPr>
        <w:t>2</w:t>
      </w:r>
      <w:r w:rsidR="00236309" w:rsidRPr="0000435B">
        <w:rPr>
          <w:rFonts w:eastAsia="Calibri"/>
          <w:b/>
          <w:bCs/>
          <w:szCs w:val="24"/>
          <w:lang w:val="en-GB"/>
        </w:rPr>
        <w:t>4</w:t>
      </w:r>
      <w:r w:rsidR="00CB2267" w:rsidRPr="00A72789">
        <w:rPr>
          <w:rFonts w:eastAsia="Calibri"/>
          <w:b/>
          <w:bCs/>
          <w:szCs w:val="24"/>
          <w:lang w:val="en-GB"/>
        </w:rPr>
        <w:t xml:space="preserve"> </w:t>
      </w:r>
      <w:r w:rsidRPr="00A72789">
        <w:rPr>
          <w:rFonts w:eastAsia="Calibri"/>
          <w:b/>
          <w:bCs/>
          <w:szCs w:val="24"/>
          <w:lang w:val="en-GB"/>
        </w:rPr>
        <w:t xml:space="preserve">April </w:t>
      </w:r>
      <w:r w:rsidRPr="0000435B">
        <w:rPr>
          <w:rFonts w:eastAsia="Calibri"/>
          <w:b/>
          <w:bCs/>
          <w:szCs w:val="24"/>
          <w:lang w:val="en-GB"/>
        </w:rPr>
        <w:t>2024</w:t>
      </w:r>
      <w:r w:rsidRPr="00A72789">
        <w:rPr>
          <w:rFonts w:eastAsia="Calibri"/>
          <w:b/>
          <w:bCs/>
          <w:szCs w:val="24"/>
          <w:lang w:val="en-GB"/>
        </w:rPr>
        <w:t xml:space="preserve"> with a view to the adoption of Regulation (EU) </w:t>
      </w:r>
      <w:r w:rsidRPr="0000435B">
        <w:rPr>
          <w:rFonts w:eastAsia="Calibri"/>
          <w:b/>
          <w:bCs/>
          <w:szCs w:val="24"/>
          <w:lang w:val="en-GB"/>
        </w:rPr>
        <w:t>2024</w:t>
      </w:r>
      <w:r w:rsidRPr="00A72789">
        <w:rPr>
          <w:rFonts w:eastAsia="Calibri"/>
          <w:b/>
          <w:bCs/>
          <w:szCs w:val="24"/>
          <w:lang w:val="en-GB"/>
        </w:rPr>
        <w:t xml:space="preserve">/… of the European Parliament and of the Council </w:t>
      </w:r>
      <w:bookmarkStart w:id="10" w:name="_DV_M1"/>
      <w:bookmarkStart w:id="11" w:name="_DV_M2"/>
      <w:bookmarkEnd w:id="10"/>
      <w:bookmarkEnd w:id="11"/>
      <w:r w:rsidRPr="00A72789">
        <w:rPr>
          <w:rFonts w:eastAsia="Calibri"/>
          <w:b/>
          <w:noProof/>
          <w:szCs w:val="22"/>
          <w:lang w:val="en-GB" w:eastAsia="en-US"/>
        </w:rPr>
        <w:t xml:space="preserve">amending Regulations (EU) </w:t>
      </w:r>
      <w:r w:rsidRPr="0000435B">
        <w:rPr>
          <w:rFonts w:eastAsia="Calibri"/>
          <w:b/>
          <w:noProof/>
          <w:szCs w:val="22"/>
          <w:lang w:val="en-GB" w:eastAsia="en-US"/>
        </w:rPr>
        <w:t>2021</w:t>
      </w:r>
      <w:r w:rsidRPr="00A72789">
        <w:rPr>
          <w:rFonts w:eastAsia="Calibri"/>
          <w:b/>
          <w:noProof/>
          <w:szCs w:val="22"/>
          <w:lang w:val="en-GB" w:eastAsia="en-US"/>
        </w:rPr>
        <w:t>/</w:t>
      </w:r>
      <w:r w:rsidRPr="0000435B">
        <w:rPr>
          <w:rFonts w:eastAsia="Calibri"/>
          <w:b/>
          <w:noProof/>
          <w:szCs w:val="22"/>
          <w:lang w:val="en-GB" w:eastAsia="en-US"/>
        </w:rPr>
        <w:t>2115</w:t>
      </w:r>
      <w:r w:rsidRPr="00A72789">
        <w:rPr>
          <w:rFonts w:eastAsia="Calibri"/>
          <w:b/>
          <w:noProof/>
          <w:szCs w:val="22"/>
          <w:lang w:val="en-GB" w:eastAsia="en-US"/>
        </w:rPr>
        <w:t xml:space="preserve"> and (EU) </w:t>
      </w:r>
      <w:r w:rsidRPr="0000435B">
        <w:rPr>
          <w:rFonts w:eastAsia="Calibri"/>
          <w:b/>
          <w:noProof/>
          <w:szCs w:val="22"/>
          <w:lang w:val="en-GB" w:eastAsia="en-US"/>
        </w:rPr>
        <w:t>2021</w:t>
      </w:r>
      <w:r w:rsidRPr="00A72789">
        <w:rPr>
          <w:rFonts w:eastAsia="Calibri"/>
          <w:b/>
          <w:noProof/>
          <w:szCs w:val="22"/>
          <w:lang w:val="en-GB" w:eastAsia="en-US"/>
        </w:rPr>
        <w:t>/</w:t>
      </w:r>
      <w:r w:rsidRPr="0000435B">
        <w:rPr>
          <w:rFonts w:eastAsia="Calibri"/>
          <w:b/>
          <w:noProof/>
          <w:szCs w:val="22"/>
          <w:lang w:val="en-GB" w:eastAsia="en-US"/>
        </w:rPr>
        <w:t>2116</w:t>
      </w:r>
      <w:r w:rsidRPr="00A72789">
        <w:rPr>
          <w:rFonts w:eastAsia="Calibri"/>
          <w:b/>
          <w:noProof/>
          <w:szCs w:val="22"/>
          <w:lang w:val="en-GB" w:eastAsia="en-US"/>
        </w:rPr>
        <w:t xml:space="preserve"> as regards good agricultural and environmental condition standards, schemes for climate, environment and animal welfare, amendment of the CAP Strategic Plans, review of the CAP Strategic Plans and exemptions from controls and penalties</w:t>
      </w:r>
    </w:p>
    <w:p w14:paraId="1102A9E2" w14:textId="36E37FEE" w:rsidR="00F113EC" w:rsidRPr="00F113EC" w:rsidRDefault="00F113EC" w:rsidP="00AE01EA">
      <w:pPr>
        <w:autoSpaceDE w:val="0"/>
        <w:autoSpaceDN w:val="0"/>
        <w:adjustRightInd w:val="0"/>
        <w:spacing w:before="120" w:after="120"/>
        <w:rPr>
          <w:rFonts w:eastAsia="Calibri"/>
          <w:i/>
          <w:noProof/>
          <w:szCs w:val="22"/>
          <w:lang w:val="en-GB" w:eastAsia="en-US"/>
        </w:rPr>
      </w:pPr>
      <w:r w:rsidRPr="00F113EC">
        <w:rPr>
          <w:rFonts w:eastAsia="Calibri"/>
          <w:i/>
          <w:noProof/>
          <w:szCs w:val="22"/>
          <w:lang w:val="en-GB" w:eastAsia="en-US"/>
        </w:rPr>
        <w:t xml:space="preserve">(As an agreement was reached between Parliament and Council, Parliament's position corresponds to the final legislative act, Regulation (EU) 2024/1468.) </w:t>
      </w:r>
    </w:p>
    <w:sectPr w:rsidR="00F113EC" w:rsidRPr="00F113EC" w:rsidSect="00AE01EA">
      <w:footnotePr>
        <w:numRestart w:val="eachSect"/>
      </w:footnotePr>
      <w:endnotePr>
        <w:numFmt w:val="decimal"/>
      </w:endnotePr>
      <w:pgSz w:w="11905" w:h="16837" w:code="9"/>
      <w:pgMar w:top="1134" w:right="1418" w:bottom="1418" w:left="1418" w:header="720" w:footer="39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D54E5" w14:textId="77777777" w:rsidR="00D61EF2" w:rsidRDefault="00D61EF2" w:rsidP="009C4014">
      <w:r>
        <w:separator/>
      </w:r>
    </w:p>
  </w:endnote>
  <w:endnote w:type="continuationSeparator" w:id="0">
    <w:p w14:paraId="12A611D6" w14:textId="77777777" w:rsidR="00D61EF2" w:rsidRDefault="00D61EF2" w:rsidP="009C4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33D46" w14:textId="77777777" w:rsidR="00185E15" w:rsidRDefault="00185E15">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1AACF" w14:textId="77777777" w:rsidR="00185E15" w:rsidRDefault="00185E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13274" w14:textId="77777777" w:rsidR="00185E15" w:rsidRDefault="00185E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EC2D4" w14:textId="77777777" w:rsidR="00D61EF2" w:rsidRDefault="00D61EF2" w:rsidP="009C4014">
      <w:r>
        <w:separator/>
      </w:r>
    </w:p>
  </w:footnote>
  <w:footnote w:type="continuationSeparator" w:id="0">
    <w:p w14:paraId="70C8AF42" w14:textId="77777777" w:rsidR="00D61EF2" w:rsidRDefault="00D61EF2" w:rsidP="009C4014">
      <w:r>
        <w:continuationSeparator/>
      </w:r>
    </w:p>
  </w:footnote>
  <w:footnote w:id="1">
    <w:p w14:paraId="462BE505" w14:textId="77777777" w:rsidR="00AE01EA" w:rsidRPr="00A72789" w:rsidRDefault="00AE01EA" w:rsidP="00AE01EA">
      <w:pPr>
        <w:pStyle w:val="FootnoteText"/>
        <w:ind w:left="567" w:hanging="567"/>
        <w:rPr>
          <w:sz w:val="24"/>
          <w:szCs w:val="24"/>
          <w:lang w:val="en-GB"/>
        </w:rPr>
      </w:pPr>
      <w:r w:rsidRPr="00A72789">
        <w:rPr>
          <w:rStyle w:val="FootnoteReference"/>
          <w:sz w:val="24"/>
          <w:szCs w:val="24"/>
        </w:rPr>
        <w:footnoteRef/>
      </w:r>
      <w:r w:rsidRPr="00A72789">
        <w:rPr>
          <w:sz w:val="24"/>
          <w:szCs w:val="24"/>
          <w:lang w:val="en-GB"/>
        </w:rPr>
        <w:tab/>
        <w:t>Not yet published in the Official Journal.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643C7" w14:textId="77777777" w:rsidR="00185E15" w:rsidRDefault="00185E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5A9F2" w14:textId="77777777" w:rsidR="00185E15" w:rsidRDefault="00185E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9A1B3" w14:textId="77777777" w:rsidR="00185E15" w:rsidRDefault="00185E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0B6B4133"/>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A2118C2"/>
    <w:multiLevelType w:val="multilevel"/>
    <w:tmpl w:val="1368055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26B2409D"/>
    <w:multiLevelType w:val="multilevel"/>
    <w:tmpl w:val="040C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299B4A63"/>
    <w:multiLevelType w:val="hybridMultilevel"/>
    <w:tmpl w:val="A40614E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6" w15:restartNumberingAfterBreak="0">
    <w:nsid w:val="4C517293"/>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7" w15:restartNumberingAfterBreak="0">
    <w:nsid w:val="71FF0C87"/>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8" w15:restartNumberingAfterBreak="0">
    <w:nsid w:val="7ECB7708"/>
    <w:multiLevelType w:val="singleLevel"/>
    <w:tmpl w:val="71B46F9E"/>
    <w:lvl w:ilvl="0">
      <w:start w:val="1"/>
      <w:numFmt w:val="decimal"/>
      <w:lvlText w:val="%1."/>
      <w:lvlJc w:val="left"/>
      <w:pPr>
        <w:tabs>
          <w:tab w:val="num" w:pos="360"/>
        </w:tabs>
        <w:ind w:left="360" w:hanging="360"/>
      </w:pPr>
    </w:lvl>
  </w:abstractNum>
  <w:num w:numId="1" w16cid:durableId="95251508">
    <w:abstractNumId w:val="3"/>
  </w:num>
  <w:num w:numId="2" w16cid:durableId="929587273">
    <w:abstractNumId w:val="2"/>
  </w:num>
  <w:num w:numId="3" w16cid:durableId="1666207581">
    <w:abstractNumId w:val="1"/>
  </w:num>
  <w:num w:numId="4" w16cid:durableId="1705013808">
    <w:abstractNumId w:val="0"/>
  </w:num>
  <w:num w:numId="5" w16cid:durableId="1991523092">
    <w:abstractNumId w:val="7"/>
  </w:num>
  <w:num w:numId="6" w16cid:durableId="1054431055">
    <w:abstractNumId w:val="6"/>
  </w:num>
  <w:num w:numId="7" w16cid:durableId="2058770973">
    <w:abstractNumId w:val="5"/>
  </w:num>
  <w:num w:numId="8" w16cid:durableId="1675836710">
    <w:abstractNumId w:val="8"/>
  </w:num>
  <w:num w:numId="9" w16cid:durableId="1621497224">
    <w:abstractNumId w:val="8"/>
  </w:num>
  <w:num w:numId="10" w16cid:durableId="7213676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ctiveWritingStyle w:appName="MSWord" w:lang="fr-FR" w:vendorID="9" w:dllVersion="512" w:checkStyle="0"/>
  <w:activeWritingStyle w:appName="MSWord" w:lang="pt-PT" w:vendorID="13"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numRestart w:val="eachSec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407"/>
    <w:rsid w:val="0000435B"/>
    <w:rsid w:val="00013B2A"/>
    <w:rsid w:val="000C2BFE"/>
    <w:rsid w:val="000F27A9"/>
    <w:rsid w:val="000F6208"/>
    <w:rsid w:val="00102D57"/>
    <w:rsid w:val="00125CBC"/>
    <w:rsid w:val="00172070"/>
    <w:rsid w:val="0017524F"/>
    <w:rsid w:val="00185E15"/>
    <w:rsid w:val="001D4BBF"/>
    <w:rsid w:val="001D63A8"/>
    <w:rsid w:val="001F2376"/>
    <w:rsid w:val="00236309"/>
    <w:rsid w:val="002924A9"/>
    <w:rsid w:val="002A1D4E"/>
    <w:rsid w:val="002B4BCF"/>
    <w:rsid w:val="002F1925"/>
    <w:rsid w:val="00300C61"/>
    <w:rsid w:val="00312A38"/>
    <w:rsid w:val="003202DD"/>
    <w:rsid w:val="003259B2"/>
    <w:rsid w:val="003775B9"/>
    <w:rsid w:val="00397B2A"/>
    <w:rsid w:val="003E1189"/>
    <w:rsid w:val="003F4DFE"/>
    <w:rsid w:val="00425111"/>
    <w:rsid w:val="00451C48"/>
    <w:rsid w:val="0047030E"/>
    <w:rsid w:val="004E6A17"/>
    <w:rsid w:val="004F2EA7"/>
    <w:rsid w:val="00520780"/>
    <w:rsid w:val="00525ED0"/>
    <w:rsid w:val="00534CAB"/>
    <w:rsid w:val="00542B12"/>
    <w:rsid w:val="00547BB1"/>
    <w:rsid w:val="00591365"/>
    <w:rsid w:val="005A2421"/>
    <w:rsid w:val="005B23C9"/>
    <w:rsid w:val="005F0CA1"/>
    <w:rsid w:val="005F35F8"/>
    <w:rsid w:val="00603B14"/>
    <w:rsid w:val="006656E5"/>
    <w:rsid w:val="00666512"/>
    <w:rsid w:val="00683F78"/>
    <w:rsid w:val="006A1E82"/>
    <w:rsid w:val="006A7C85"/>
    <w:rsid w:val="006A7CE5"/>
    <w:rsid w:val="006B1646"/>
    <w:rsid w:val="006E5420"/>
    <w:rsid w:val="006F135E"/>
    <w:rsid w:val="00747B1F"/>
    <w:rsid w:val="00751383"/>
    <w:rsid w:val="00757DD5"/>
    <w:rsid w:val="00760EC5"/>
    <w:rsid w:val="007713FD"/>
    <w:rsid w:val="00774A9B"/>
    <w:rsid w:val="007906DB"/>
    <w:rsid w:val="007B16FE"/>
    <w:rsid w:val="007C3388"/>
    <w:rsid w:val="008512F3"/>
    <w:rsid w:val="00857458"/>
    <w:rsid w:val="00873A0F"/>
    <w:rsid w:val="00895FA0"/>
    <w:rsid w:val="008B1C2E"/>
    <w:rsid w:val="008D7C16"/>
    <w:rsid w:val="008E7632"/>
    <w:rsid w:val="008F0108"/>
    <w:rsid w:val="008F595F"/>
    <w:rsid w:val="008F7F1C"/>
    <w:rsid w:val="00907FE0"/>
    <w:rsid w:val="009865B7"/>
    <w:rsid w:val="009B4E2F"/>
    <w:rsid w:val="009B7E10"/>
    <w:rsid w:val="009C4014"/>
    <w:rsid w:val="009F28EF"/>
    <w:rsid w:val="00A10E15"/>
    <w:rsid w:val="00A1739E"/>
    <w:rsid w:val="00A72789"/>
    <w:rsid w:val="00AA7D06"/>
    <w:rsid w:val="00AE01EA"/>
    <w:rsid w:val="00B54C72"/>
    <w:rsid w:val="00B85C1E"/>
    <w:rsid w:val="00C15516"/>
    <w:rsid w:val="00C16C81"/>
    <w:rsid w:val="00C36602"/>
    <w:rsid w:val="00C40494"/>
    <w:rsid w:val="00C57739"/>
    <w:rsid w:val="00C65BE8"/>
    <w:rsid w:val="00CB2267"/>
    <w:rsid w:val="00CB451F"/>
    <w:rsid w:val="00CC1407"/>
    <w:rsid w:val="00CC4897"/>
    <w:rsid w:val="00CD4A5D"/>
    <w:rsid w:val="00CF12CB"/>
    <w:rsid w:val="00D202A4"/>
    <w:rsid w:val="00D32EA1"/>
    <w:rsid w:val="00D6152D"/>
    <w:rsid w:val="00D61EF2"/>
    <w:rsid w:val="00D91669"/>
    <w:rsid w:val="00DF097A"/>
    <w:rsid w:val="00DF53A8"/>
    <w:rsid w:val="00E039BF"/>
    <w:rsid w:val="00E11822"/>
    <w:rsid w:val="00E73B02"/>
    <w:rsid w:val="00E74BF3"/>
    <w:rsid w:val="00EC26FD"/>
    <w:rsid w:val="00EF2CA1"/>
    <w:rsid w:val="00EF3610"/>
    <w:rsid w:val="00F113EC"/>
    <w:rsid w:val="00F177A4"/>
    <w:rsid w:val="00F97E29"/>
    <w:rsid w:val="00FB1507"/>
    <w:rsid w:val="00FB36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4AB62B"/>
  <w15:chartTrackingRefBased/>
  <w15:docId w15:val="{751339C7-1E15-490C-AE11-42FD1625B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fr-FR"/>
    </w:rPr>
  </w:style>
  <w:style w:type="paragraph" w:styleId="Heading1">
    <w:name w:val="heading 1"/>
    <w:basedOn w:val="Normal"/>
    <w:next w:val="Normal"/>
    <w:qFormat/>
    <w:pPr>
      <w:keepNext/>
      <w:keepLines/>
      <w:spacing w:after="120"/>
      <w:ind w:left="510" w:hanging="510"/>
      <w:outlineLvl w:val="0"/>
    </w:pPr>
    <w:rPr>
      <w:b/>
      <w:kern w:val="28"/>
      <w:sz w:val="28"/>
    </w:rPr>
  </w:style>
  <w:style w:type="paragraph" w:styleId="Heading2">
    <w:name w:val="heading 2"/>
    <w:basedOn w:val="Normal"/>
    <w:next w:val="Normal"/>
    <w:qFormat/>
    <w:pPr>
      <w:keepNext/>
      <w:numPr>
        <w:ilvl w:val="1"/>
        <w:numId w:val="4"/>
      </w:numPr>
      <w:spacing w:before="240" w:after="60"/>
      <w:outlineLvl w:val="1"/>
    </w:pPr>
  </w:style>
  <w:style w:type="paragraph" w:styleId="Heading3">
    <w:name w:val="heading 3"/>
    <w:basedOn w:val="Normal"/>
    <w:next w:val="Normal"/>
    <w:qFormat/>
    <w:pPr>
      <w:keepNext/>
      <w:numPr>
        <w:ilvl w:val="2"/>
        <w:numId w:val="4"/>
      </w:numPr>
      <w:spacing w:before="240" w:after="60"/>
      <w:outlineLvl w:val="2"/>
    </w:pPr>
    <w:rPr>
      <w:rFonts w:ascii="Arial" w:hAnsi="Arial"/>
    </w:rPr>
  </w:style>
  <w:style w:type="paragraph" w:styleId="Heading4">
    <w:name w:val="heading 4"/>
    <w:basedOn w:val="Normal"/>
    <w:next w:val="Normal"/>
    <w:qFormat/>
    <w:pPr>
      <w:keepNext/>
      <w:numPr>
        <w:ilvl w:val="3"/>
        <w:numId w:val="4"/>
      </w:numPr>
      <w:spacing w:before="240" w:after="60"/>
      <w:outlineLvl w:val="3"/>
    </w:pPr>
    <w:rPr>
      <w:lang w:val="en-US"/>
    </w:rPr>
  </w:style>
  <w:style w:type="paragraph" w:styleId="Heading5">
    <w:name w:val="heading 5"/>
    <w:basedOn w:val="Normal"/>
    <w:next w:val="Normal"/>
    <w:qFormat/>
    <w:pPr>
      <w:numPr>
        <w:ilvl w:val="4"/>
        <w:numId w:val="7"/>
      </w:numPr>
      <w:spacing w:before="240" w:after="60"/>
      <w:outlineLvl w:val="4"/>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Heading1">
    <w:name w:val="AT Heading 1"/>
    <w:basedOn w:val="Normal"/>
    <w:next w:val="Normal"/>
    <w:pPr>
      <w:keepNext/>
      <w:keepLines/>
      <w:spacing w:after="120"/>
      <w:outlineLvl w:val="0"/>
    </w:pPr>
    <w:rPr>
      <w:b/>
      <w:noProof/>
      <w:sz w:val="28"/>
    </w:rPr>
  </w:style>
  <w:style w:type="paragraph" w:customStyle="1" w:styleId="ATHeading2">
    <w:name w:val="AT Heading 2"/>
    <w:basedOn w:val="Normal"/>
    <w:next w:val="Normal"/>
    <w:pPr>
      <w:spacing w:before="120" w:after="120"/>
      <w:outlineLvl w:val="1"/>
    </w:pPr>
    <w:rPr>
      <w:b/>
      <w:noProof/>
      <w:sz w:val="28"/>
    </w:rPr>
  </w:style>
  <w:style w:type="paragraph" w:customStyle="1" w:styleId="ATHeading3">
    <w:name w:val="AT Heading 3"/>
    <w:basedOn w:val="Normal"/>
    <w:next w:val="Normal"/>
    <w:pPr>
      <w:keepNext/>
      <w:keepLines/>
      <w:spacing w:before="120" w:after="120"/>
      <w:outlineLvl w:val="2"/>
    </w:pPr>
    <w:rPr>
      <w:b/>
      <w:noProof/>
    </w:rPr>
  </w:style>
  <w:style w:type="paragraph" w:customStyle="1" w:styleId="ATHeading4">
    <w:name w:val="AT Heading 4"/>
    <w:basedOn w:val="Normal"/>
    <w:next w:val="Normal"/>
    <w:pPr>
      <w:keepNext/>
      <w:keepLines/>
      <w:spacing w:before="120" w:after="120"/>
    </w:pPr>
    <w:rPr>
      <w:b/>
      <w:i/>
      <w:noProof/>
    </w:rPr>
  </w:style>
  <w:style w:type="paragraph" w:customStyle="1" w:styleId="ATHeading5">
    <w:name w:val="AT Heading 5"/>
    <w:basedOn w:val="Normal"/>
    <w:next w:val="Normal"/>
    <w:pPr>
      <w:keepNext/>
      <w:keepLines/>
      <w:spacing w:before="120" w:after="120"/>
    </w:pPr>
    <w:rPr>
      <w:i/>
      <w:noProof/>
    </w:rPr>
  </w:style>
  <w:style w:type="paragraph" w:customStyle="1" w:styleId="ATHeadingMotiv">
    <w:name w:val="AT Heading Motiv"/>
    <w:basedOn w:val="Normal"/>
    <w:next w:val="Normal"/>
    <w:pPr>
      <w:keepNext/>
      <w:spacing w:before="60" w:after="60"/>
      <w:jc w:val="center"/>
    </w:pPr>
    <w:rPr>
      <w:i/>
    </w:rPr>
  </w:style>
  <w:style w:type="paragraph" w:customStyle="1" w:styleId="ATTOCTitle">
    <w:name w:val="AT TOC Title"/>
    <w:basedOn w:val="Normal"/>
    <w:pPr>
      <w:keepNext/>
      <w:keepLines/>
      <w:spacing w:after="240"/>
      <w:jc w:val="center"/>
    </w:pPr>
    <w:rPr>
      <w:b/>
      <w:caps/>
      <w:sz w:val="28"/>
    </w:rPr>
  </w:style>
  <w:style w:type="paragraph" w:styleId="Footer">
    <w:name w:val="footer"/>
    <w:basedOn w:val="Normal"/>
    <w:pPr>
      <w:tabs>
        <w:tab w:val="right" w:pos="9639"/>
      </w:tabs>
    </w:pPr>
    <w:rPr>
      <w:sz w:val="22"/>
    </w:rPr>
  </w:style>
  <w:style w:type="character" w:styleId="FootnoteReference">
    <w:name w:val="footnote reference"/>
    <w:uiPriority w:val="99"/>
    <w:rPr>
      <w:b w:val="0"/>
      <w:vertAlign w:val="superscript"/>
    </w:rPr>
  </w:style>
  <w:style w:type="paragraph" w:styleId="FootnoteText">
    <w:name w:val="footnote text"/>
    <w:basedOn w:val="Normal"/>
    <w:link w:val="FootnoteTextChar"/>
    <w:uiPriority w:val="99"/>
    <w:pPr>
      <w:keepLines/>
      <w:spacing w:line="260" w:lineRule="exact"/>
      <w:ind w:left="425" w:hanging="425"/>
    </w:pPr>
    <w:rPr>
      <w:sz w:val="22"/>
    </w:rPr>
  </w:style>
  <w:style w:type="paragraph" w:styleId="Header">
    <w:name w:val="header"/>
    <w:basedOn w:val="Normal"/>
    <w:pPr>
      <w:tabs>
        <w:tab w:val="right" w:pos="9639"/>
      </w:tabs>
    </w:pPr>
  </w:style>
  <w:style w:type="paragraph" w:customStyle="1" w:styleId="Numroamendement">
    <w:name w:val="Numéro amendement"/>
    <w:basedOn w:val="Normal"/>
    <w:next w:val="Normal"/>
    <w:pPr>
      <w:widowControl w:val="0"/>
      <w:jc w:val="center"/>
    </w:pPr>
    <w:rPr>
      <w:snapToGrid w:val="0"/>
      <w:lang w:eastAsia="en-US"/>
    </w:rPr>
  </w:style>
  <w:style w:type="character" w:styleId="PageNumber">
    <w:name w:val="page number"/>
    <w:basedOn w:val="DefaultParagraphFont"/>
  </w:style>
  <w:style w:type="paragraph" w:styleId="TOC1">
    <w:name w:val="toc 1"/>
    <w:basedOn w:val="Normal"/>
    <w:next w:val="Normal"/>
    <w:autoRedefine/>
    <w:semiHidden/>
    <w:pPr>
      <w:keepNext/>
      <w:keepLines/>
      <w:spacing w:before="200"/>
    </w:pPr>
    <w:rPr>
      <w:b/>
      <w:noProof/>
    </w:rPr>
  </w:style>
  <w:style w:type="paragraph" w:styleId="TOC2">
    <w:name w:val="toc 2"/>
    <w:basedOn w:val="Normal"/>
    <w:next w:val="Normal"/>
    <w:autoRedefine/>
    <w:semiHidden/>
    <w:pPr>
      <w:keepNext/>
      <w:keepLines/>
    </w:pPr>
    <w:rPr>
      <w:b/>
      <w:noProof/>
    </w:rPr>
  </w:style>
  <w:style w:type="paragraph" w:styleId="TOC3">
    <w:name w:val="toc 3"/>
    <w:basedOn w:val="Normal"/>
    <w:next w:val="Normal"/>
    <w:autoRedefine/>
    <w:semiHidden/>
    <w:pPr>
      <w:keepLines/>
      <w:ind w:right="510"/>
    </w:pPr>
    <w:rPr>
      <w:noProof/>
    </w:rPr>
  </w:style>
  <w:style w:type="paragraph" w:customStyle="1" w:styleId="ATHeading6">
    <w:name w:val="AT Heading 6"/>
    <w:basedOn w:val="Normal"/>
    <w:next w:val="Normal"/>
    <w:pPr>
      <w:keepNext/>
      <w:keepLines/>
      <w:spacing w:before="120" w:after="120"/>
    </w:pPr>
    <w:rPr>
      <w:smallCaps/>
      <w:noProof/>
    </w:rPr>
  </w:style>
  <w:style w:type="paragraph" w:customStyle="1" w:styleId="Normal12">
    <w:name w:val="Normal12"/>
    <w:basedOn w:val="Normal"/>
    <w:rsid w:val="00C65BE8"/>
    <w:pPr>
      <w:widowControl w:val="0"/>
      <w:spacing w:after="240"/>
    </w:pPr>
    <w:rPr>
      <w:snapToGrid w:val="0"/>
      <w:lang w:val="en-GB"/>
    </w:rPr>
  </w:style>
  <w:style w:type="paragraph" w:customStyle="1" w:styleId="NormalBold">
    <w:name w:val="NormalBold"/>
    <w:basedOn w:val="Normal"/>
    <w:rsid w:val="00C65BE8"/>
    <w:pPr>
      <w:widowControl w:val="0"/>
    </w:pPr>
    <w:rPr>
      <w:b/>
      <w:snapToGrid w:val="0"/>
      <w:lang w:val="en-GB"/>
    </w:rPr>
  </w:style>
  <w:style w:type="paragraph" w:customStyle="1" w:styleId="Normal12Hanging">
    <w:name w:val="Normal12Hanging"/>
    <w:basedOn w:val="Normal12"/>
    <w:link w:val="Normal12HangingChar"/>
    <w:rsid w:val="00C65BE8"/>
    <w:pPr>
      <w:ind w:left="357" w:hanging="357"/>
    </w:pPr>
  </w:style>
  <w:style w:type="character" w:customStyle="1" w:styleId="longtext">
    <w:name w:val="long_text"/>
    <w:rsid w:val="00C65BE8"/>
    <w:rPr>
      <w:rFonts w:cs="Times New Roman"/>
    </w:rPr>
  </w:style>
  <w:style w:type="paragraph" w:customStyle="1" w:styleId="Hanging12">
    <w:name w:val="Hanging12"/>
    <w:basedOn w:val="Normal12"/>
    <w:rsid w:val="00C65BE8"/>
    <w:pPr>
      <w:tabs>
        <w:tab w:val="left" w:pos="357"/>
      </w:tabs>
      <w:ind w:left="357" w:hanging="357"/>
    </w:pPr>
    <w:rPr>
      <w:snapToGrid/>
    </w:rPr>
  </w:style>
  <w:style w:type="paragraph" w:customStyle="1" w:styleId="Normal6">
    <w:name w:val="Normal6"/>
    <w:basedOn w:val="Normal"/>
    <w:link w:val="Normal6Char"/>
    <w:rsid w:val="00C65BE8"/>
    <w:pPr>
      <w:widowControl w:val="0"/>
      <w:spacing w:after="120"/>
    </w:pPr>
    <w:rPr>
      <w:noProof/>
      <w:lang w:val="en-GB"/>
    </w:rPr>
  </w:style>
  <w:style w:type="character" w:customStyle="1" w:styleId="Normal6Char">
    <w:name w:val="Normal6 Char"/>
    <w:link w:val="Normal6"/>
    <w:rsid w:val="00C65BE8"/>
    <w:rPr>
      <w:noProof/>
      <w:sz w:val="24"/>
      <w:lang w:val="en-GB" w:eastAsia="en-GB" w:bidi="ar-SA"/>
    </w:rPr>
  </w:style>
  <w:style w:type="character" w:customStyle="1" w:styleId="Normal12HangingChar">
    <w:name w:val="Normal12Hanging Char"/>
    <w:link w:val="Normal12Hanging"/>
    <w:rsid w:val="00C65BE8"/>
    <w:rPr>
      <w:snapToGrid w:val="0"/>
      <w:sz w:val="24"/>
      <w:lang w:val="en-GB" w:eastAsia="en-GB" w:bidi="ar-SA"/>
    </w:rPr>
  </w:style>
  <w:style w:type="character" w:customStyle="1" w:styleId="hps">
    <w:name w:val="hps"/>
    <w:basedOn w:val="DefaultParagraphFont"/>
    <w:rsid w:val="00C65BE8"/>
  </w:style>
  <w:style w:type="character" w:customStyle="1" w:styleId="HideTWBExt">
    <w:name w:val="HideTWBExt"/>
    <w:rsid w:val="008E7632"/>
    <w:rPr>
      <w:rFonts w:ascii="Arial" w:hAnsi="Arial"/>
      <w:noProof/>
      <w:vanish/>
      <w:color w:val="000080"/>
      <w:sz w:val="20"/>
    </w:rPr>
  </w:style>
  <w:style w:type="paragraph" w:customStyle="1" w:styleId="ZSessionDoc">
    <w:name w:val="ZSessionDoc"/>
    <w:basedOn w:val="Normal"/>
    <w:next w:val="Normal"/>
    <w:rsid w:val="008E7632"/>
    <w:pPr>
      <w:widowControl w:val="0"/>
      <w:jc w:val="center"/>
    </w:pPr>
    <w:rPr>
      <w:rFonts w:ascii="Arial" w:hAnsi="Arial" w:cs="Arial"/>
      <w:i/>
      <w:sz w:val="22"/>
      <w:szCs w:val="22"/>
      <w:lang w:val="en-GB"/>
    </w:rPr>
  </w:style>
  <w:style w:type="paragraph" w:customStyle="1" w:styleId="LineTop">
    <w:name w:val="LineTop"/>
    <w:basedOn w:val="Normal"/>
    <w:next w:val="ZSessionDoc"/>
    <w:rsid w:val="008E7632"/>
    <w:pPr>
      <w:widowControl w:val="0"/>
      <w:pBdr>
        <w:top w:val="single" w:sz="4" w:space="1" w:color="auto"/>
      </w:pBdr>
      <w:jc w:val="center"/>
    </w:pPr>
    <w:rPr>
      <w:rFonts w:ascii="Arial" w:hAnsi="Arial"/>
      <w:sz w:val="16"/>
      <w:szCs w:val="16"/>
    </w:rPr>
  </w:style>
  <w:style w:type="paragraph" w:customStyle="1" w:styleId="LineBottom">
    <w:name w:val="LineBottom"/>
    <w:basedOn w:val="Normal"/>
    <w:next w:val="Normal"/>
    <w:rsid w:val="008E7632"/>
    <w:pPr>
      <w:widowControl w:val="0"/>
      <w:pBdr>
        <w:bottom w:val="single" w:sz="4" w:space="1" w:color="auto"/>
      </w:pBdr>
      <w:spacing w:after="240"/>
      <w:jc w:val="center"/>
    </w:pPr>
    <w:rPr>
      <w:rFonts w:ascii="Arial" w:hAnsi="Arial"/>
      <w:sz w:val="16"/>
      <w:szCs w:val="16"/>
      <w:lang w:val="en-GB"/>
    </w:rPr>
  </w:style>
  <w:style w:type="paragraph" w:customStyle="1" w:styleId="PELeft">
    <w:name w:val="PELeft"/>
    <w:basedOn w:val="Normal"/>
    <w:rsid w:val="008E7632"/>
    <w:pPr>
      <w:widowControl w:val="0"/>
      <w:spacing w:before="40" w:after="40"/>
    </w:pPr>
    <w:rPr>
      <w:rFonts w:ascii="Arial" w:hAnsi="Arial" w:cs="Arial"/>
      <w:sz w:val="22"/>
      <w:szCs w:val="22"/>
    </w:rPr>
  </w:style>
  <w:style w:type="paragraph" w:customStyle="1" w:styleId="PERight">
    <w:name w:val="PERight"/>
    <w:basedOn w:val="Normal"/>
    <w:next w:val="Normal"/>
    <w:rsid w:val="008E7632"/>
    <w:pPr>
      <w:widowControl w:val="0"/>
      <w:jc w:val="right"/>
    </w:pPr>
    <w:rPr>
      <w:rFonts w:ascii="Arial" w:hAnsi="Arial" w:cs="Arial"/>
      <w:sz w:val="22"/>
      <w:szCs w:val="22"/>
    </w:rPr>
  </w:style>
  <w:style w:type="paragraph" w:customStyle="1" w:styleId="EPName">
    <w:name w:val="EPName"/>
    <w:basedOn w:val="Normal"/>
    <w:rsid w:val="00757DD5"/>
    <w:pPr>
      <w:widowControl w:val="0"/>
      <w:spacing w:before="80" w:after="80"/>
    </w:pPr>
    <w:rPr>
      <w:rFonts w:ascii="Arial Narrow" w:hAnsi="Arial Narrow" w:cs="Arial"/>
      <w:b/>
      <w:color w:val="000000"/>
      <w:sz w:val="32"/>
      <w:szCs w:val="22"/>
    </w:rPr>
  </w:style>
  <w:style w:type="paragraph" w:customStyle="1" w:styleId="EPTerm">
    <w:name w:val="EPTerm"/>
    <w:basedOn w:val="Normal"/>
    <w:next w:val="Normal"/>
    <w:rsid w:val="00757DD5"/>
    <w:pPr>
      <w:widowControl w:val="0"/>
      <w:spacing w:after="80"/>
    </w:pPr>
    <w:rPr>
      <w:rFonts w:ascii="Arial" w:hAnsi="Arial" w:cs="Arial"/>
      <w:sz w:val="20"/>
      <w:szCs w:val="22"/>
    </w:rPr>
  </w:style>
  <w:style w:type="paragraph" w:customStyle="1" w:styleId="EPLogo">
    <w:name w:val="EPLogo"/>
    <w:basedOn w:val="Normal"/>
    <w:qFormat/>
    <w:rsid w:val="00757DD5"/>
    <w:pPr>
      <w:widowControl w:val="0"/>
      <w:jc w:val="right"/>
    </w:pPr>
    <w:rPr>
      <w:lang w:val="en-GB"/>
    </w:rPr>
  </w:style>
  <w:style w:type="character" w:customStyle="1" w:styleId="FootnoteTextChar">
    <w:name w:val="Footnote Text Char"/>
    <w:basedOn w:val="DefaultParagraphFont"/>
    <w:link w:val="FootnoteText"/>
    <w:uiPriority w:val="99"/>
    <w:rsid w:val="00AE01EA"/>
    <w:rPr>
      <w:sz w:val="22"/>
      <w:lang w:val="fr-FR"/>
    </w:rPr>
  </w:style>
  <w:style w:type="paragraph" w:styleId="BalloonText">
    <w:name w:val="Balloon Text"/>
    <w:basedOn w:val="Normal"/>
    <w:link w:val="BalloonTextChar"/>
    <w:rsid w:val="00AE01EA"/>
    <w:rPr>
      <w:rFonts w:ascii="Segoe UI" w:hAnsi="Segoe UI" w:cs="Segoe UI"/>
      <w:sz w:val="18"/>
      <w:szCs w:val="18"/>
    </w:rPr>
  </w:style>
  <w:style w:type="character" w:customStyle="1" w:styleId="BalloonTextChar">
    <w:name w:val="Balloon Text Char"/>
    <w:basedOn w:val="DefaultParagraphFont"/>
    <w:link w:val="BalloonText"/>
    <w:rsid w:val="00AE01EA"/>
    <w:rPr>
      <w:rFonts w:ascii="Segoe UI" w:hAnsi="Segoe UI" w:cs="Segoe UI"/>
      <w:sz w:val="18"/>
      <w:szCs w:val="18"/>
      <w:lang w:val="fr-FR"/>
    </w:rPr>
  </w:style>
  <w:style w:type="table" w:styleId="TableGrid">
    <w:name w:val="Table Grid"/>
    <w:basedOn w:val="TableNormal"/>
    <w:uiPriority w:val="59"/>
    <w:rsid w:val="00AE01EA"/>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01EA"/>
    <w:rPr>
      <w:color w:val="0000FF"/>
      <w:u w:val="single"/>
    </w:rPr>
  </w:style>
  <w:style w:type="character" w:styleId="CommentReference">
    <w:name w:val="annotation reference"/>
    <w:basedOn w:val="DefaultParagraphFont"/>
    <w:rsid w:val="00747B1F"/>
    <w:rPr>
      <w:sz w:val="16"/>
      <w:szCs w:val="16"/>
    </w:rPr>
  </w:style>
  <w:style w:type="paragraph" w:styleId="CommentText">
    <w:name w:val="annotation text"/>
    <w:basedOn w:val="Normal"/>
    <w:link w:val="CommentTextChar"/>
    <w:rsid w:val="00747B1F"/>
    <w:rPr>
      <w:sz w:val="20"/>
    </w:rPr>
  </w:style>
  <w:style w:type="character" w:customStyle="1" w:styleId="CommentTextChar">
    <w:name w:val="Comment Text Char"/>
    <w:basedOn w:val="DefaultParagraphFont"/>
    <w:link w:val="CommentText"/>
    <w:rsid w:val="00747B1F"/>
    <w:rPr>
      <w:lang w:val="fr-FR"/>
    </w:rPr>
  </w:style>
  <w:style w:type="paragraph" w:styleId="CommentSubject">
    <w:name w:val="annotation subject"/>
    <w:basedOn w:val="CommentText"/>
    <w:next w:val="CommentText"/>
    <w:link w:val="CommentSubjectChar"/>
    <w:rsid w:val="00747B1F"/>
    <w:rPr>
      <w:b/>
      <w:bCs/>
    </w:rPr>
  </w:style>
  <w:style w:type="character" w:customStyle="1" w:styleId="CommentSubjectChar">
    <w:name w:val="Comment Subject Char"/>
    <w:basedOn w:val="CommentTextChar"/>
    <w:link w:val="CommentSubject"/>
    <w:rsid w:val="00747B1F"/>
    <w:rPr>
      <w:b/>
      <w:bCs/>
      <w:lang w:val="fr-FR"/>
    </w:rPr>
  </w:style>
  <w:style w:type="character" w:styleId="FollowedHyperlink">
    <w:name w:val="FollowedHyperlink"/>
    <w:basedOn w:val="DefaultParagraphFont"/>
    <w:rsid w:val="00C366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48284-D4AD-444D-B967-45790D99F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368</Words>
  <Characters>2099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TAwoTXT</vt:lpstr>
    </vt:vector>
  </TitlesOfParts>
  <Company>European Parliament</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TAwoTXT</dc:title>
  <dc:subject/>
  <dc:creator>SMITH Lyndsey</dc:creator>
  <cp:keywords/>
  <cp:lastModifiedBy>DASNOY Marie-Laure</cp:lastModifiedBy>
  <cp:revision>3</cp:revision>
  <cp:lastPrinted>2014-08-07T13:15:00Z</cp:lastPrinted>
  <dcterms:created xsi:type="dcterms:W3CDTF">2024-09-10T09:52:00Z</dcterms:created>
  <dcterms:modified xsi:type="dcterms:W3CDTF">2026-04-27T06:40:00Z</dcterms:modified>
</cp:coreProperties>
</file>