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D0052" w:rsidRPr="00A5526B" w:rsidTr="00602CE9">
        <w:trPr>
          <w:trHeight w:hRule="exact" w:val="1418"/>
        </w:trPr>
        <w:tc>
          <w:tcPr>
            <w:tcW w:w="6804" w:type="dxa"/>
            <w:shd w:val="clear" w:color="auto" w:fill="auto"/>
            <w:vAlign w:val="center"/>
          </w:tcPr>
          <w:p w:rsidR="009D0052" w:rsidRPr="00A5526B" w:rsidRDefault="009D0052" w:rsidP="009D0052">
            <w:pPr>
              <w:widowControl w:val="0"/>
              <w:spacing w:before="80" w:after="80"/>
              <w:jc w:val="left"/>
              <w:rPr>
                <w:rFonts w:ascii="Arial Narrow" w:eastAsia="Times New Roman" w:hAnsi="Arial Narrow" w:cs="Arial"/>
                <w:b/>
                <w:sz w:val="32"/>
                <w:szCs w:val="22"/>
                <w:lang w:val="it-IT" w:eastAsia="en-GB"/>
              </w:rPr>
            </w:pPr>
            <w:bookmarkStart w:id="0" w:name="_GoBack"/>
            <w:bookmarkEnd w:id="0"/>
            <w:r w:rsidRPr="00A5526B">
              <w:rPr>
                <w:rFonts w:ascii="Arial Narrow" w:eastAsia="Times New Roman" w:hAnsi="Arial Narrow" w:cs="Arial"/>
                <w:b/>
                <w:sz w:val="32"/>
                <w:szCs w:val="22"/>
                <w:lang w:val="it-IT" w:eastAsia="en-GB"/>
              </w:rPr>
              <w:t>Parlamento europeo</w:t>
            </w:r>
          </w:p>
          <w:p w:rsidR="009D0052" w:rsidRPr="00A5526B" w:rsidRDefault="009D0052" w:rsidP="009D0052">
            <w:pPr>
              <w:widowControl w:val="0"/>
              <w:spacing w:after="80"/>
              <w:jc w:val="left"/>
              <w:rPr>
                <w:rFonts w:ascii="Arial" w:eastAsia="Times New Roman" w:hAnsi="Arial" w:cs="Arial"/>
                <w:sz w:val="20"/>
                <w:szCs w:val="22"/>
                <w:lang w:val="it-IT" w:eastAsia="en-GB"/>
              </w:rPr>
            </w:pPr>
            <w:r w:rsidRPr="00A5526B">
              <w:rPr>
                <w:rFonts w:ascii="Arial" w:eastAsia="Times New Roman" w:hAnsi="Arial" w:cs="Arial"/>
                <w:sz w:val="20"/>
                <w:szCs w:val="22"/>
                <w:lang w:val="it-IT" w:eastAsia="en-GB"/>
              </w:rPr>
              <w:t>2019-2024</w:t>
            </w:r>
          </w:p>
        </w:tc>
        <w:tc>
          <w:tcPr>
            <w:tcW w:w="2268" w:type="dxa"/>
            <w:shd w:val="clear" w:color="auto" w:fill="auto"/>
          </w:tcPr>
          <w:p w:rsidR="009D0052" w:rsidRPr="00A5526B" w:rsidRDefault="009D0052" w:rsidP="009D0052">
            <w:pPr>
              <w:widowControl w:val="0"/>
              <w:jc w:val="right"/>
              <w:rPr>
                <w:rFonts w:eastAsia="Times New Roman"/>
                <w:szCs w:val="20"/>
                <w:lang w:val="it-IT" w:eastAsia="en-GB"/>
              </w:rPr>
            </w:pPr>
            <w:r w:rsidRPr="00A5526B">
              <w:rPr>
                <w:rFonts w:eastAsia="Times New Roman"/>
                <w:noProof/>
                <w:szCs w:val="20"/>
                <w:lang w:eastAsia="en-GB"/>
              </w:rPr>
              <w:drawing>
                <wp:inline distT="0" distB="0" distL="0" distR="0" wp14:anchorId="3FEB2F9F" wp14:editId="3C8EC77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9D0052" w:rsidRPr="00A5526B" w:rsidRDefault="009D0052" w:rsidP="009D0052">
      <w:pPr>
        <w:widowControl w:val="0"/>
        <w:pBdr>
          <w:top w:val="single" w:sz="4" w:space="1" w:color="auto"/>
        </w:pBdr>
        <w:jc w:val="center"/>
        <w:rPr>
          <w:rFonts w:ascii="Arial" w:eastAsia="Times New Roman" w:hAnsi="Arial" w:cs="Arial"/>
          <w:sz w:val="16"/>
          <w:szCs w:val="16"/>
          <w:lang w:val="it-IT" w:eastAsia="en-GB"/>
        </w:rPr>
      </w:pPr>
    </w:p>
    <w:p w:rsidR="009D0052" w:rsidRPr="00A5526B" w:rsidRDefault="009D0052" w:rsidP="009D0052">
      <w:pPr>
        <w:widowControl w:val="0"/>
        <w:jc w:val="center"/>
        <w:rPr>
          <w:rFonts w:ascii="Arial" w:eastAsia="Times New Roman" w:hAnsi="Arial" w:cs="Arial"/>
          <w:b/>
          <w:sz w:val="22"/>
          <w:szCs w:val="22"/>
          <w:lang w:val="it-IT" w:eastAsia="en-GB"/>
        </w:rPr>
      </w:pPr>
      <w:r w:rsidRPr="00A5526B">
        <w:rPr>
          <w:rFonts w:ascii="Arial" w:eastAsia="Times New Roman" w:hAnsi="Arial" w:cs="Arial"/>
          <w:b/>
          <w:sz w:val="22"/>
          <w:szCs w:val="22"/>
          <w:lang w:val="it-IT" w:eastAsia="en-GB"/>
        </w:rPr>
        <w:t>TESTI APPROVATI</w:t>
      </w:r>
    </w:p>
    <w:p w:rsidR="009D0052" w:rsidRPr="00A5526B" w:rsidRDefault="009D0052" w:rsidP="009D0052">
      <w:pPr>
        <w:widowControl w:val="0"/>
        <w:pBdr>
          <w:bottom w:val="single" w:sz="4" w:space="1" w:color="auto"/>
        </w:pBdr>
        <w:spacing w:after="240"/>
        <w:jc w:val="center"/>
        <w:rPr>
          <w:rFonts w:ascii="Arial" w:eastAsia="Times New Roman" w:hAnsi="Arial" w:cs="Arial"/>
          <w:sz w:val="16"/>
          <w:szCs w:val="16"/>
          <w:lang w:val="it-IT" w:eastAsia="en-GB"/>
        </w:rPr>
      </w:pPr>
    </w:p>
    <w:p w:rsidR="00A5526B" w:rsidRPr="00A5526B" w:rsidRDefault="00A5526B" w:rsidP="00A5526B">
      <w:pPr>
        <w:pStyle w:val="ATHeading1"/>
      </w:pPr>
      <w:bookmarkStart w:id="1" w:name="TANumber"/>
      <w:r w:rsidRPr="00A5526B">
        <w:t>P9_</w:t>
      </w:r>
      <w:proofErr w:type="gramStart"/>
      <w:r w:rsidRPr="00A5526B">
        <w:t>TA(</w:t>
      </w:r>
      <w:proofErr w:type="gramEnd"/>
      <w:r w:rsidRPr="00A5526B">
        <w:t>2024)0132</w:t>
      </w:r>
      <w:bookmarkEnd w:id="1"/>
    </w:p>
    <w:p w:rsidR="00A5526B" w:rsidRPr="00A5526B" w:rsidRDefault="00A5526B" w:rsidP="00A5526B">
      <w:pPr>
        <w:pStyle w:val="ATHeading2"/>
      </w:pPr>
      <w:bookmarkStart w:id="2" w:name="title"/>
      <w:r w:rsidRPr="00A5526B">
        <w:t>Responsabilità per danno da prodotti difettosi</w:t>
      </w:r>
      <w:bookmarkEnd w:id="2"/>
    </w:p>
    <w:p w:rsidR="00A5526B" w:rsidRPr="00A5526B" w:rsidRDefault="00A5526B" w:rsidP="00A5526B">
      <w:pPr>
        <w:widowControl w:val="0"/>
        <w:jc w:val="left"/>
        <w:rPr>
          <w:rFonts w:eastAsia="Times New Roman"/>
          <w:i/>
          <w:vanish/>
          <w:szCs w:val="20"/>
          <w:lang w:val="it-IT" w:eastAsia="en-GB"/>
        </w:rPr>
      </w:pPr>
      <w:r w:rsidRPr="00A5526B">
        <w:rPr>
          <w:rFonts w:eastAsia="Times New Roman"/>
          <w:i/>
          <w:szCs w:val="20"/>
          <w:lang w:val="it-IT" w:eastAsia="en-GB"/>
        </w:rPr>
        <w:fldChar w:fldCharType="begin"/>
      </w:r>
      <w:r w:rsidRPr="00A5526B">
        <w:rPr>
          <w:rFonts w:eastAsia="Times New Roman"/>
          <w:i/>
          <w:szCs w:val="20"/>
          <w:lang w:val="it-IT" w:eastAsia="en-GB"/>
        </w:rPr>
        <w:instrText xml:space="preserve"> TC"(</w:instrText>
      </w:r>
      <w:bookmarkStart w:id="3" w:name="DocNumber"/>
      <w:r w:rsidRPr="00A5526B">
        <w:rPr>
          <w:rFonts w:eastAsia="Times New Roman"/>
          <w:i/>
          <w:szCs w:val="20"/>
          <w:lang w:val="it-IT" w:eastAsia="en-GB"/>
        </w:rPr>
        <w:instrText>A9-0291/2023</w:instrText>
      </w:r>
      <w:bookmarkEnd w:id="3"/>
      <w:r w:rsidRPr="00A5526B">
        <w:rPr>
          <w:rFonts w:eastAsia="Times New Roman"/>
          <w:i/>
          <w:szCs w:val="20"/>
          <w:lang w:val="it-IT" w:eastAsia="en-GB"/>
        </w:rPr>
        <w:instrText xml:space="preserve"> - Relatori: Pascal </w:instrText>
      </w:r>
      <w:proofErr w:type="spellStart"/>
      <w:r w:rsidRPr="00A5526B">
        <w:rPr>
          <w:rFonts w:eastAsia="Times New Roman"/>
          <w:i/>
          <w:szCs w:val="20"/>
          <w:lang w:val="it-IT" w:eastAsia="en-GB"/>
        </w:rPr>
        <w:instrText>Arimont</w:instrText>
      </w:r>
      <w:proofErr w:type="spellEnd"/>
      <w:r w:rsidRPr="00A5526B">
        <w:rPr>
          <w:rFonts w:eastAsia="Times New Roman"/>
          <w:i/>
          <w:szCs w:val="20"/>
          <w:lang w:val="it-IT" w:eastAsia="en-GB"/>
        </w:rPr>
        <w:instrText>, Vlad</w:instrText>
      </w:r>
      <w:r w:rsidRPr="00A5526B">
        <w:rPr>
          <w:rFonts w:eastAsia="Times New Roman"/>
          <w:i/>
          <w:szCs w:val="20"/>
          <w:lang w:val="it-IT" w:eastAsia="en-GB"/>
        </w:rPr>
        <w:noBreakHyphen/>
        <w:instrText xml:space="preserve">Marius </w:instrText>
      </w:r>
      <w:proofErr w:type="spellStart"/>
      <w:r w:rsidRPr="00A5526B">
        <w:rPr>
          <w:rFonts w:eastAsia="Times New Roman"/>
          <w:i/>
          <w:szCs w:val="20"/>
          <w:lang w:val="it-IT" w:eastAsia="en-GB"/>
        </w:rPr>
        <w:instrText>Botoş</w:instrText>
      </w:r>
      <w:proofErr w:type="spellEnd"/>
      <w:r w:rsidRPr="00A5526B">
        <w:rPr>
          <w:rFonts w:eastAsia="Times New Roman"/>
          <w:i/>
          <w:szCs w:val="20"/>
          <w:lang w:val="it-IT" w:eastAsia="en-GB"/>
        </w:rPr>
        <w:instrText xml:space="preserve">)"\l3 \n&gt; \* MERGEFORMAT </w:instrText>
      </w:r>
      <w:r w:rsidRPr="00A5526B">
        <w:rPr>
          <w:rFonts w:eastAsia="Times New Roman"/>
          <w:i/>
          <w:szCs w:val="20"/>
          <w:lang w:val="it-IT" w:eastAsia="en-GB"/>
        </w:rPr>
        <w:fldChar w:fldCharType="end"/>
      </w:r>
    </w:p>
    <w:p w:rsidR="00A5526B" w:rsidRPr="00A5526B" w:rsidRDefault="00A5526B" w:rsidP="00A5526B">
      <w:pPr>
        <w:widowControl w:val="0"/>
        <w:jc w:val="left"/>
        <w:rPr>
          <w:rFonts w:eastAsia="Times New Roman"/>
          <w:vanish/>
          <w:szCs w:val="20"/>
          <w:lang w:val="it-IT" w:eastAsia="en-GB"/>
        </w:rPr>
      </w:pPr>
      <w:bookmarkStart w:id="4" w:name="Commission"/>
      <w:r w:rsidRPr="00A5526B">
        <w:rPr>
          <w:rFonts w:eastAsia="Times New Roman"/>
          <w:vanish/>
          <w:szCs w:val="20"/>
          <w:lang w:val="it-IT" w:eastAsia="en-GB"/>
        </w:rPr>
        <w:t>Commissione per il mercato interno e la protezione dei consumatori</w:t>
      </w:r>
      <w:bookmarkEnd w:id="4"/>
      <w:r w:rsidRPr="00A5526B">
        <w:rPr>
          <w:rFonts w:eastAsia="Times New Roman"/>
          <w:vanish/>
          <w:szCs w:val="20"/>
          <w:lang w:val="it-IT" w:eastAsia="en-GB"/>
        </w:rPr>
        <w:t>, Commissione giuridica</w:t>
      </w:r>
    </w:p>
    <w:p w:rsidR="00A5526B" w:rsidRPr="00A5526B" w:rsidRDefault="00A5526B" w:rsidP="00A5526B">
      <w:pPr>
        <w:widowControl w:val="0"/>
        <w:jc w:val="left"/>
        <w:rPr>
          <w:rFonts w:eastAsia="Times New Roman"/>
          <w:vanish/>
          <w:szCs w:val="20"/>
          <w:lang w:val="it-IT" w:eastAsia="en-GB"/>
        </w:rPr>
      </w:pPr>
      <w:bookmarkStart w:id="5" w:name="PE"/>
      <w:r w:rsidRPr="00A5526B">
        <w:rPr>
          <w:rFonts w:eastAsia="Times New Roman"/>
          <w:vanish/>
          <w:szCs w:val="20"/>
          <w:lang w:val="it-IT" w:eastAsia="en-GB"/>
        </w:rPr>
        <w:t>PE745.537</w:t>
      </w:r>
      <w:bookmarkEnd w:id="5"/>
    </w:p>
    <w:p w:rsidR="00A5526B" w:rsidRPr="00A5526B" w:rsidRDefault="00A5526B" w:rsidP="00A5526B">
      <w:pPr>
        <w:pStyle w:val="ATHeading3"/>
      </w:pPr>
      <w:bookmarkStart w:id="6" w:name="Sujet"/>
      <w:r w:rsidRPr="00A5526B">
        <w:t>Risoluzione legislativa del Parlamento europeo del 12 marzo 2024 sulla proposta di direttiva del Parlamento europeo e del Consiglio sulla responsabilità per danno da prodotti difettosi</w:t>
      </w:r>
      <w:bookmarkEnd w:id="6"/>
      <w:r w:rsidRPr="00A5526B">
        <w:t xml:space="preserve"> </w:t>
      </w:r>
      <w:bookmarkStart w:id="7" w:name="References"/>
      <w:r w:rsidRPr="00A5526B">
        <w:t>(</w:t>
      </w:r>
      <w:proofErr w:type="gramStart"/>
      <w:r w:rsidRPr="00A5526B">
        <w:t>COM(</w:t>
      </w:r>
      <w:proofErr w:type="gramEnd"/>
      <w:r w:rsidRPr="00A5526B">
        <w:t>2022)0495 – C9-0322/2022 – 2022/0302(COD))</w:t>
      </w:r>
      <w:bookmarkEnd w:id="7"/>
    </w:p>
    <w:p w:rsidR="00A5526B" w:rsidRPr="00A5526B" w:rsidRDefault="00A5526B" w:rsidP="00A5526B">
      <w:pPr>
        <w:pStyle w:val="NormalBold"/>
        <w:spacing w:before="360"/>
      </w:pPr>
      <w:bookmarkStart w:id="8" w:name="TextBodyBegin"/>
      <w:bookmarkEnd w:id="8"/>
      <w:r w:rsidRPr="00A5526B">
        <w:t>(Procedura legislativa ordinaria: prima lettura)</w:t>
      </w:r>
    </w:p>
    <w:p w:rsidR="009D0052" w:rsidRPr="00A5526B" w:rsidRDefault="009D0052" w:rsidP="009D0052">
      <w:pPr>
        <w:widowControl w:val="0"/>
        <w:spacing w:before="480" w:after="240"/>
        <w:jc w:val="left"/>
        <w:rPr>
          <w:rFonts w:eastAsia="Times New Roman"/>
          <w:szCs w:val="20"/>
          <w:lang w:val="it-IT" w:eastAsia="en-GB"/>
        </w:rPr>
      </w:pPr>
      <w:r w:rsidRPr="00A5526B">
        <w:rPr>
          <w:rFonts w:eastAsia="Times New Roman"/>
          <w:i/>
          <w:szCs w:val="20"/>
          <w:lang w:val="it-IT" w:eastAsia="en-GB"/>
        </w:rPr>
        <w:t>Il Parlamento europeo</w:t>
      </w:r>
      <w:r w:rsidRPr="00A5526B">
        <w:rPr>
          <w:rFonts w:eastAsia="Times New Roman"/>
          <w:szCs w:val="20"/>
          <w:lang w:val="it-IT" w:eastAsia="en-GB"/>
        </w:rPr>
        <w:t>,</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vista la proposta della Commissione al Parlamento europeo e al Consiglio (</w:t>
      </w:r>
      <w:proofErr w:type="gramStart"/>
      <w:r w:rsidRPr="00A5526B">
        <w:rPr>
          <w:rFonts w:eastAsia="Times New Roman"/>
          <w:szCs w:val="20"/>
          <w:lang w:val="it-IT" w:eastAsia="en-GB"/>
        </w:rPr>
        <w:t>COM(</w:t>
      </w:r>
      <w:proofErr w:type="gramEnd"/>
      <w:r w:rsidRPr="00A5526B">
        <w:rPr>
          <w:rFonts w:eastAsia="Times New Roman"/>
          <w:szCs w:val="20"/>
          <w:lang w:val="it-IT" w:eastAsia="en-GB"/>
        </w:rPr>
        <w:t>2022)0495),</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visti l'articolo 294, paragrafo 2, e l'articolo 114 del trattato sul funzionamento dell'Unione europea, a norma dei quali la proposta gli è stata presentata dalla Commissione (C9</w:t>
      </w:r>
      <w:r w:rsidRPr="00A5526B">
        <w:rPr>
          <w:rFonts w:eastAsia="Times New Roman"/>
          <w:szCs w:val="20"/>
          <w:lang w:val="it-IT" w:eastAsia="en-GB"/>
        </w:rPr>
        <w:noBreakHyphen/>
        <w:t>0322/2022),</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visto l'articolo 294, paragrafo 3, del trattato sul funzionamento dell'Unione europea,</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visto il parere del Comitato economico e sociale europeo del 24 gennaio 2023</w:t>
      </w:r>
      <w:r w:rsidRPr="00A5526B">
        <w:rPr>
          <w:rFonts w:eastAsia="Times New Roman"/>
          <w:szCs w:val="20"/>
          <w:vertAlign w:val="superscript"/>
          <w:lang w:val="it-IT" w:eastAsia="en-GB"/>
        </w:rPr>
        <w:footnoteReference w:id="1"/>
      </w:r>
      <w:r w:rsidRPr="00A5526B">
        <w:rPr>
          <w:rFonts w:eastAsia="Times New Roman"/>
          <w:szCs w:val="20"/>
          <w:lang w:val="it-IT" w:eastAsia="en-GB"/>
        </w:rPr>
        <w:t>,</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visti l'accordo provvisorio approvato dalle commissioni competenti a norma dell'articolo 74, paragrafo 4, del regolamento e l'impegno assunto dal rappresentante del Consiglio, con lettera del 24 gennaio 2024, di approvare la posizione del Parlamento europeo, in conformità dell'articolo 294, paragrafo 4, del trattato sul funzionamento dell'Unione europea,</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visto l'articolo 59 del suo regolamento,</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viste le deliberazioni congiunte della commissione per il mercato interno e la protezione dei consumatori e della commissione giuridica a norma dell'articolo 58 del regolamento,</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w:t>
      </w:r>
      <w:r w:rsidRPr="00A5526B">
        <w:rPr>
          <w:rFonts w:eastAsia="Times New Roman"/>
          <w:szCs w:val="20"/>
          <w:lang w:val="it-IT" w:eastAsia="en-GB"/>
        </w:rPr>
        <w:tab/>
        <w:t xml:space="preserve">vista la relazione della commissione per il mercato interno e la protezione dei </w:t>
      </w:r>
      <w:r w:rsidRPr="00A5526B">
        <w:rPr>
          <w:rFonts w:eastAsia="Times New Roman"/>
          <w:szCs w:val="20"/>
          <w:lang w:val="it-IT" w:eastAsia="en-GB"/>
        </w:rPr>
        <w:lastRenderedPageBreak/>
        <w:t>consumatori e della commissione giuridica (A9-0291/2023),</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1.</w:t>
      </w:r>
      <w:r w:rsidRPr="00A5526B">
        <w:rPr>
          <w:rFonts w:eastAsia="Times New Roman"/>
          <w:szCs w:val="20"/>
          <w:lang w:val="it-IT" w:eastAsia="en-GB"/>
        </w:rPr>
        <w:tab/>
        <w:t>adotta la posizione in prima lettura figurante in appresso;</w:t>
      </w:r>
    </w:p>
    <w:p w:rsidR="009D0052" w:rsidRPr="00A5526B" w:rsidRDefault="009D0052" w:rsidP="009D0052">
      <w:pPr>
        <w:widowControl w:val="0"/>
        <w:spacing w:after="240"/>
        <w:ind w:left="567" w:hanging="567"/>
        <w:jc w:val="left"/>
        <w:rPr>
          <w:rFonts w:eastAsia="Times New Roman"/>
          <w:szCs w:val="20"/>
          <w:lang w:val="it-IT" w:eastAsia="en-GB"/>
        </w:rPr>
      </w:pPr>
      <w:r w:rsidRPr="00A5526B">
        <w:rPr>
          <w:rFonts w:eastAsia="Times New Roman"/>
          <w:szCs w:val="20"/>
          <w:lang w:val="it-IT" w:eastAsia="en-GB"/>
        </w:rPr>
        <w:t>2.</w:t>
      </w:r>
      <w:r w:rsidRPr="00A5526B">
        <w:rPr>
          <w:rFonts w:eastAsia="Times New Roman"/>
          <w:szCs w:val="20"/>
          <w:lang w:val="it-IT" w:eastAsia="en-GB"/>
        </w:rPr>
        <w:tab/>
        <w:t>chiede alla Commissione di presentargli nuovamente la proposta qualora la sostituisca, la modifichi sostanzialmente o intenda modificarla sostanzialmente;</w:t>
      </w:r>
    </w:p>
    <w:p w:rsidR="009D0052" w:rsidRPr="00A5526B" w:rsidRDefault="009D0052" w:rsidP="009D0052">
      <w:pPr>
        <w:widowControl w:val="0"/>
        <w:spacing w:after="240"/>
        <w:ind w:left="567" w:hanging="567"/>
        <w:jc w:val="left"/>
        <w:rPr>
          <w:rFonts w:eastAsia="Times New Roman"/>
          <w:szCs w:val="20"/>
          <w:lang w:val="it-IT" w:eastAsia="en-GB"/>
        </w:rPr>
        <w:sectPr w:rsidR="009D0052" w:rsidRPr="00A5526B" w:rsidSect="009D0052">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code="9"/>
          <w:pgMar w:top="1134" w:right="1418" w:bottom="1418" w:left="1418" w:header="1134" w:footer="567" w:gutter="0"/>
          <w:cols w:space="720"/>
          <w:noEndnote/>
          <w:docGrid w:linePitch="326"/>
        </w:sectPr>
      </w:pPr>
      <w:r w:rsidRPr="00A5526B">
        <w:rPr>
          <w:rFonts w:eastAsia="Times New Roman"/>
          <w:szCs w:val="20"/>
          <w:lang w:val="it-IT" w:eastAsia="en-GB"/>
        </w:rPr>
        <w:t>3.</w:t>
      </w:r>
      <w:r w:rsidRPr="00A5526B">
        <w:rPr>
          <w:rFonts w:eastAsia="Times New Roman"/>
          <w:szCs w:val="20"/>
          <w:lang w:val="it-IT" w:eastAsia="en-GB"/>
        </w:rPr>
        <w:tab/>
        <w:t>incarica la sua Presidente di trasmettere la posizione del Parlamento al Consiglio e alla Commissione nonché ai parlamenti nazionali.</w:t>
      </w:r>
    </w:p>
    <w:p w:rsidR="009D0052" w:rsidRPr="00A5526B" w:rsidRDefault="009D0052" w:rsidP="009D0052">
      <w:pPr>
        <w:widowControl w:val="0"/>
        <w:spacing w:before="240"/>
        <w:jc w:val="left"/>
        <w:rPr>
          <w:rFonts w:eastAsia="Times New Roman"/>
          <w:b/>
          <w:szCs w:val="20"/>
          <w:lang w:val="it-IT" w:eastAsia="en-GB"/>
        </w:rPr>
      </w:pPr>
      <w:r w:rsidRPr="00A5526B">
        <w:rPr>
          <w:rFonts w:eastAsia="Times New Roman"/>
          <w:b/>
          <w:szCs w:val="20"/>
          <w:lang w:val="it-IT" w:eastAsia="en-GB"/>
        </w:rPr>
        <w:lastRenderedPageBreak/>
        <w:t>P9_TC1-</w:t>
      </w:r>
      <w:proofErr w:type="gramStart"/>
      <w:r w:rsidRPr="00A5526B">
        <w:rPr>
          <w:rFonts w:eastAsia="Times New Roman"/>
          <w:b/>
          <w:szCs w:val="20"/>
          <w:lang w:val="it-IT" w:eastAsia="en-GB"/>
        </w:rPr>
        <w:t>COD(</w:t>
      </w:r>
      <w:proofErr w:type="gramEnd"/>
      <w:r w:rsidRPr="00A5526B">
        <w:rPr>
          <w:rFonts w:eastAsia="Times New Roman"/>
          <w:b/>
          <w:szCs w:val="20"/>
          <w:lang w:val="it-IT" w:eastAsia="en-GB"/>
        </w:rPr>
        <w:t>2022)0302</w:t>
      </w:r>
    </w:p>
    <w:p w:rsidR="009D0052" w:rsidRPr="00A5526B" w:rsidRDefault="009D0052" w:rsidP="001B51F0">
      <w:pPr>
        <w:widowControl w:val="0"/>
        <w:spacing w:before="360" w:after="360"/>
        <w:jc w:val="left"/>
        <w:rPr>
          <w:rFonts w:eastAsia="Calibri"/>
          <w:b/>
          <w:szCs w:val="22"/>
          <w:lang w:val="it-IT"/>
        </w:rPr>
      </w:pPr>
      <w:r w:rsidRPr="00A5526B">
        <w:rPr>
          <w:rFonts w:eastAsia="Times New Roman"/>
          <w:b/>
          <w:szCs w:val="20"/>
          <w:lang w:val="it-IT" w:eastAsia="en-GB"/>
        </w:rPr>
        <w:t xml:space="preserve">Posizione del Parlamento europeo definita in prima lettura il 12 marzo 2024 in vista dell'adozione della direttiva (UE) 2024/... del Parlamento europeo e del Consiglio </w:t>
      </w:r>
      <w:r w:rsidRPr="00A5526B">
        <w:rPr>
          <w:rFonts w:eastAsia="Calibri"/>
          <w:b/>
          <w:szCs w:val="22"/>
          <w:lang w:val="it-IT"/>
        </w:rPr>
        <w:t>sulla responsabilità per danno da prodotti difettosi, che abroga la direttiva 85/374/CEE del Consiglio</w:t>
      </w:r>
    </w:p>
    <w:p w:rsidR="001B51F0" w:rsidRPr="00A5526B" w:rsidRDefault="001B51F0" w:rsidP="001B51F0">
      <w:pPr>
        <w:rPr>
          <w:i/>
          <w:lang w:val="it-IT"/>
        </w:rPr>
      </w:pPr>
      <w:r w:rsidRPr="00A5526B">
        <w:rPr>
          <w:i/>
          <w:lang w:val="it-IT"/>
        </w:rPr>
        <w:t>(Dato l'accordo tra il Parlamento e il Consiglio, la posizione del Parlamento corrisponde all'atto legislativo finale, la direttiva (UE) 2024/2853.)</w:t>
      </w:r>
    </w:p>
    <w:sectPr w:rsidR="001B51F0" w:rsidRPr="00A5526B" w:rsidSect="001B51F0">
      <w:footerReference w:type="even" r:id="rId13"/>
      <w:footerReference w:type="default" r:id="rId14"/>
      <w:footerReference w:type="first" r:id="rId15"/>
      <w:footnotePr>
        <w:numRestart w:val="eachSect"/>
      </w:footnotePr>
      <w:endnotePr>
        <w:numFmt w:val="decimal"/>
      </w:endnotePr>
      <w:pgSz w:w="11906" w:h="16838" w:code="9"/>
      <w:pgMar w:top="1134" w:right="1134" w:bottom="1134" w:left="1134"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052" w:rsidRDefault="009D0052" w:rsidP="009D0052">
      <w:r>
        <w:separator/>
      </w:r>
    </w:p>
  </w:endnote>
  <w:endnote w:type="continuationSeparator" w:id="0">
    <w:p w:rsidR="009D0052" w:rsidRDefault="009D0052" w:rsidP="009D0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424962" w:rsidRDefault="009D005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424962" w:rsidRDefault="009D005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424962" w:rsidRDefault="009D005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1F5B29" w:rsidRDefault="009D0052" w:rsidP="00C50560">
    <w:pPr>
      <w:pStyle w:val="EPFooter"/>
    </w:pPr>
    <w:r w:rsidRPr="001F5B29">
      <w:tab/>
    </w:r>
    <w:r w:rsidRPr="001F5B29">
      <w:fldChar w:fldCharType="begin"/>
    </w:r>
    <w:r w:rsidRPr="001F5B29">
      <w:instrText xml:space="preserve"> PAGE </w:instrText>
    </w:r>
    <w:r w:rsidRPr="001F5B29">
      <w:fldChar w:fldCharType="separate"/>
    </w:r>
    <w:r>
      <w:rPr>
        <w:noProof/>
      </w:rPr>
      <w:t>86</w:t>
    </w:r>
    <w:r w:rsidRPr="001F5B29">
      <w:fldChar w:fldCharType="end"/>
    </w:r>
    <w:r w:rsidRPr="001F5B29">
      <w:t>/</w:t>
    </w:r>
    <w:r w:rsidRPr="001F5B29">
      <w:fldChar w:fldCharType="begin"/>
    </w:r>
    <w:r w:rsidRPr="001F5B29">
      <w:instrText xml:space="preserve"> NUMPAGES </w:instrText>
    </w:r>
    <w:r w:rsidRPr="001F5B29">
      <w:fldChar w:fldCharType="separate"/>
    </w:r>
    <w:r>
      <w:rPr>
        <w:noProof/>
      </w:rPr>
      <w:t>86</w:t>
    </w:r>
    <w:r w:rsidRPr="001F5B29">
      <w:rPr>
        <w:noProof/>
      </w:rPr>
      <w:fldChar w:fldCharType="end"/>
    </w:r>
    <w:r w:rsidRPr="001F5B29">
      <w:tab/>
    </w:r>
  </w:p>
  <w:p w:rsidR="009D0052" w:rsidRPr="00C50560" w:rsidRDefault="009D0052" w:rsidP="00C50560">
    <w:pPr>
      <w:pStyle w:val="EPFooter2"/>
    </w:pPr>
    <w:r w:rsidRPr="001F5B29">
      <w:fldChar w:fldCharType="begin"/>
    </w:r>
    <w:r w:rsidRPr="001F5B29">
      <w:instrText xml:space="preserve"> DOCPROPERTY "&lt;Extension&gt;" </w:instrText>
    </w:r>
    <w:r w:rsidRPr="001F5B29">
      <w:fldChar w:fldCharType="separate"/>
    </w:r>
    <w:r>
      <w:t>IT</w:t>
    </w:r>
    <w:r w:rsidRPr="001F5B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9D0052" w:rsidRDefault="009D0052" w:rsidP="009D00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9D0052" w:rsidRDefault="009D0052" w:rsidP="009D0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052" w:rsidRDefault="009D0052" w:rsidP="009D0052">
      <w:r>
        <w:separator/>
      </w:r>
    </w:p>
  </w:footnote>
  <w:footnote w:type="continuationSeparator" w:id="0">
    <w:p w:rsidR="009D0052" w:rsidRDefault="009D0052" w:rsidP="009D0052">
      <w:r>
        <w:continuationSeparator/>
      </w:r>
    </w:p>
  </w:footnote>
  <w:footnote w:id="1">
    <w:p w:rsidR="009D0052" w:rsidRPr="009D0052" w:rsidRDefault="009D0052" w:rsidP="009D0052">
      <w:pPr>
        <w:pStyle w:val="FootnoteText"/>
        <w:ind w:left="567" w:hanging="567"/>
        <w:jc w:val="left"/>
        <w:rPr>
          <w:sz w:val="24"/>
          <w:szCs w:val="24"/>
          <w:lang w:val="it-IT"/>
        </w:rPr>
      </w:pPr>
      <w:r w:rsidRPr="009D0052">
        <w:rPr>
          <w:rStyle w:val="FootnoteReference"/>
          <w:sz w:val="24"/>
          <w:szCs w:val="24"/>
          <w:lang w:val="it-IT"/>
        </w:rPr>
        <w:footnoteRef/>
      </w:r>
      <w:r w:rsidRPr="009D0052">
        <w:rPr>
          <w:sz w:val="24"/>
          <w:szCs w:val="24"/>
          <w:lang w:val="it-IT"/>
        </w:rPr>
        <w:t xml:space="preserve"> </w:t>
      </w:r>
      <w:r w:rsidRPr="009D0052">
        <w:rPr>
          <w:sz w:val="24"/>
          <w:szCs w:val="24"/>
          <w:lang w:val="it-IT"/>
        </w:rPr>
        <w:tab/>
        <w:t>GU C 140 del 21.4.2023, pag</w:t>
      </w:r>
      <w:r w:rsidR="007365C0">
        <w:rPr>
          <w:sz w:val="24"/>
          <w:szCs w:val="24"/>
          <w:lang w:val="it-IT"/>
        </w:rPr>
        <w:t>.</w:t>
      </w:r>
      <w:r w:rsidRPr="009D0052">
        <w:rPr>
          <w:sz w:val="24"/>
          <w:szCs w:val="24"/>
          <w:lang w:val="it-IT"/>
        </w:rPr>
        <w:t xml:space="preserve"> 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424962" w:rsidRDefault="009D005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424962" w:rsidRDefault="009D005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052" w:rsidRPr="00424962" w:rsidRDefault="009D00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874"/>
    <w:rsid w:val="001B51F0"/>
    <w:rsid w:val="003C4874"/>
    <w:rsid w:val="005762E3"/>
    <w:rsid w:val="007365C0"/>
    <w:rsid w:val="008765BE"/>
    <w:rsid w:val="009B74CA"/>
    <w:rsid w:val="009D0052"/>
    <w:rsid w:val="00A5526B"/>
    <w:rsid w:val="00DE6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CCCC1-AC8B-4E4D-A424-814396CF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semiHidden/>
    <w:unhideWhenUsed/>
    <w:rsid w:val="009D0052"/>
    <w:rPr>
      <w:sz w:val="20"/>
      <w:szCs w:val="20"/>
    </w:rPr>
  </w:style>
  <w:style w:type="character" w:customStyle="1" w:styleId="FootnoteTextChar">
    <w:name w:val="Footnote Text Char"/>
    <w:basedOn w:val="DefaultParagraphFont"/>
    <w:link w:val="FootnoteText"/>
    <w:uiPriority w:val="99"/>
    <w:semiHidden/>
    <w:rsid w:val="009D0052"/>
    <w:rPr>
      <w:rFonts w:ascii="Times New Roman" w:hAnsi="Times New Roman"/>
      <w:sz w:val="20"/>
      <w:szCs w:val="20"/>
    </w:rPr>
  </w:style>
  <w:style w:type="character" w:styleId="FootnoteReference">
    <w:name w:val="footnote reference"/>
    <w:uiPriority w:val="99"/>
    <w:rsid w:val="009D0052"/>
    <w:rPr>
      <w:b w:val="0"/>
      <w:vertAlign w:val="superscript"/>
    </w:rPr>
  </w:style>
  <w:style w:type="paragraph" w:customStyle="1" w:styleId="EPFooter2">
    <w:name w:val="EPFooter2"/>
    <w:basedOn w:val="Normal"/>
    <w:next w:val="Normal"/>
    <w:rsid w:val="009D0052"/>
    <w:pPr>
      <w:tabs>
        <w:tab w:val="center" w:pos="4535"/>
        <w:tab w:val="right" w:pos="9921"/>
      </w:tabs>
      <w:ind w:left="-850" w:right="-850"/>
      <w:jc w:val="left"/>
    </w:pPr>
    <w:rPr>
      <w:rFonts w:ascii="Arial" w:eastAsia="Times New Roman" w:hAnsi="Arial" w:cs="Arial"/>
      <w:b/>
      <w:sz w:val="48"/>
      <w:szCs w:val="20"/>
      <w:lang w:val="it-IT" w:eastAsia="en-GB"/>
    </w:rPr>
  </w:style>
  <w:style w:type="paragraph" w:customStyle="1" w:styleId="EPFooter">
    <w:name w:val="EPFooter"/>
    <w:basedOn w:val="Normal"/>
    <w:rsid w:val="009D0052"/>
    <w:pPr>
      <w:widowControl w:val="0"/>
      <w:tabs>
        <w:tab w:val="center" w:pos="4535"/>
        <w:tab w:val="right" w:pos="9071"/>
      </w:tabs>
      <w:spacing w:before="240" w:after="240"/>
      <w:jc w:val="left"/>
    </w:pPr>
    <w:rPr>
      <w:rFonts w:eastAsia="Times New Roman"/>
      <w:sz w:val="22"/>
      <w:szCs w:val="20"/>
      <w:lang w:val="it-IT" w:eastAsia="en-GB"/>
    </w:rPr>
  </w:style>
  <w:style w:type="table" w:customStyle="1" w:styleId="TableGrid1">
    <w:name w:val="Table Grid1"/>
    <w:basedOn w:val="TableNormal"/>
    <w:uiPriority w:val="59"/>
    <w:rsid w:val="009D0052"/>
    <w:rPr>
      <w:rFonts w:cs="DokChampa"/>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rsid w:val="009D0052"/>
    <w:rPr>
      <w:color w:val="0563C1"/>
      <w:u w:val="single"/>
    </w:rPr>
  </w:style>
  <w:style w:type="character" w:styleId="Hyperlink">
    <w:name w:val="Hyperlink"/>
    <w:basedOn w:val="DefaultParagraphFont"/>
    <w:uiPriority w:val="99"/>
    <w:semiHidden/>
    <w:unhideWhenUsed/>
    <w:rsid w:val="009D0052"/>
    <w:rPr>
      <w:color w:val="0563C1" w:themeColor="hyperlink"/>
      <w:u w:val="single"/>
    </w:rPr>
  </w:style>
  <w:style w:type="paragraph" w:styleId="Footer">
    <w:name w:val="footer"/>
    <w:basedOn w:val="Normal"/>
    <w:link w:val="FooterChar"/>
    <w:uiPriority w:val="99"/>
    <w:semiHidden/>
    <w:unhideWhenUsed/>
    <w:rsid w:val="009D0052"/>
    <w:pPr>
      <w:tabs>
        <w:tab w:val="center" w:pos="4513"/>
        <w:tab w:val="right" w:pos="9026"/>
      </w:tabs>
    </w:pPr>
  </w:style>
  <w:style w:type="character" w:customStyle="1" w:styleId="FooterChar">
    <w:name w:val="Footer Char"/>
    <w:basedOn w:val="DefaultParagraphFont"/>
    <w:link w:val="Footer"/>
    <w:uiPriority w:val="99"/>
    <w:semiHidden/>
    <w:rsid w:val="009D0052"/>
    <w:rPr>
      <w:rFonts w:ascii="Times New Roman" w:hAnsi="Times New Roman"/>
      <w:sz w:val="24"/>
      <w:szCs w:val="24"/>
    </w:rPr>
  </w:style>
  <w:style w:type="paragraph" w:customStyle="1" w:styleId="ATHeading1">
    <w:name w:val="AT Heading 1"/>
    <w:basedOn w:val="Normal"/>
    <w:next w:val="Normal"/>
    <w:rsid w:val="00A5526B"/>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A5526B"/>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A5526B"/>
    <w:pPr>
      <w:keepNext/>
      <w:keepLines/>
      <w:spacing w:before="120" w:after="120"/>
      <w:jc w:val="left"/>
      <w:outlineLvl w:val="2"/>
    </w:pPr>
    <w:rPr>
      <w:rFonts w:eastAsia="Times New Roman"/>
      <w:b/>
      <w:szCs w:val="20"/>
      <w:lang w:val="it-IT" w:eastAsia="fr-FR"/>
    </w:rPr>
  </w:style>
  <w:style w:type="paragraph" w:customStyle="1" w:styleId="NormalBold">
    <w:name w:val="NormalBold"/>
    <w:basedOn w:val="Normal"/>
    <w:link w:val="NormalBoldChar"/>
    <w:rsid w:val="00A5526B"/>
    <w:pPr>
      <w:widowControl w:val="0"/>
      <w:jc w:val="left"/>
    </w:pPr>
    <w:rPr>
      <w:rFonts w:eastAsia="Times New Roman"/>
      <w:b/>
      <w:szCs w:val="20"/>
      <w:lang w:val="it-IT" w:eastAsia="en-GB"/>
    </w:rPr>
  </w:style>
  <w:style w:type="character" w:customStyle="1" w:styleId="NormalBoldChar">
    <w:name w:val="NormalBold Char"/>
    <w:basedOn w:val="DefaultParagraphFont"/>
    <w:link w:val="NormalBold"/>
    <w:rsid w:val="00A5526B"/>
    <w:rPr>
      <w:rFonts w:ascii="Times New Roman" w:eastAsia="Times New Roman" w:hAnsi="Times New Roman"/>
      <w:b/>
      <w:sz w:val="24"/>
      <w:szCs w:val="20"/>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385</Words>
  <Characters>2200</Characters>
  <Application>Microsoft Office Word</Application>
  <DocSecurity>4</DocSecurity>
  <Lines>18</Lines>
  <Paragraphs>5</Paragraphs>
  <ScaleCrop>false</ScaleCrop>
  <Company>European Parliament</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ARossi-RELEC</dc:creator>
  <cp:keywords/>
  <dc:description/>
  <cp:lastModifiedBy>AP</cp:lastModifiedBy>
  <cp:revision>2</cp:revision>
  <dcterms:created xsi:type="dcterms:W3CDTF">2025-01-08T15:48:00Z</dcterms:created>
  <dcterms:modified xsi:type="dcterms:W3CDTF">2025-01-08T15:48:00Z</dcterms:modified>
</cp:coreProperties>
</file>