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E21D8A" w14:paraId="48E5525D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40EBBC" w14:textId="77777777" w:rsidR="00757DD5" w:rsidRPr="00E21D8A" w:rsidRDefault="006165D2" w:rsidP="00425111">
            <w:pPr>
              <w:pStyle w:val="EPName"/>
              <w:rPr>
                <w:lang w:val="en-GB"/>
              </w:rPr>
            </w:pPr>
            <w:r w:rsidRPr="00E21D8A">
              <w:rPr>
                <w:lang w:val="en-GB"/>
              </w:rPr>
              <w:t xml:space="preserve">Parlement </w:t>
            </w:r>
            <w:proofErr w:type="spellStart"/>
            <w:r w:rsidRPr="00E21D8A">
              <w:rPr>
                <w:lang w:val="en-GB"/>
              </w:rPr>
              <w:t>européen</w:t>
            </w:r>
            <w:proofErr w:type="spellEnd"/>
          </w:p>
          <w:p w14:paraId="6BA0418B" w14:textId="77777777" w:rsidR="00757DD5" w:rsidRPr="00E21D8A" w:rsidRDefault="006165D2" w:rsidP="00D3509F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E21D8A">
              <w:rPr>
                <w:lang w:val="en-GB"/>
              </w:rPr>
              <w:t>20</w:t>
            </w:r>
            <w:r w:rsidR="00D3509F">
              <w:rPr>
                <w:lang w:val="en-GB"/>
              </w:rPr>
              <w:t>24</w:t>
            </w:r>
            <w:r w:rsidRPr="00E21D8A">
              <w:rPr>
                <w:lang w:val="en-GB"/>
              </w:rPr>
              <w:t xml:space="preserve"> - 202</w:t>
            </w:r>
            <w:r w:rsidR="00D3509F">
              <w:rPr>
                <w:lang w:val="en-GB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7DFF5ED0" w14:textId="77777777" w:rsidR="00757DD5" w:rsidRPr="00E21D8A" w:rsidRDefault="00172070" w:rsidP="00425111">
            <w:pPr>
              <w:pStyle w:val="EPLogo"/>
            </w:pPr>
            <w:r w:rsidRPr="00E21D8A">
              <w:rPr>
                <w:noProof/>
              </w:rPr>
              <w:drawing>
                <wp:inline distT="0" distB="0" distL="0" distR="0" wp14:anchorId="1A8C3E60" wp14:editId="11419B88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959CEB" w14:textId="77777777" w:rsidR="008E7632" w:rsidRPr="00E21D8A" w:rsidRDefault="008E7632" w:rsidP="008E7632">
      <w:pPr>
        <w:pStyle w:val="LineTop"/>
        <w:rPr>
          <w:lang w:val="en-GB"/>
        </w:rPr>
      </w:pPr>
    </w:p>
    <w:p w14:paraId="26B1A2C3" w14:textId="77777777" w:rsidR="008E7632" w:rsidRPr="00E21D8A" w:rsidRDefault="006165D2" w:rsidP="008E7632">
      <w:pPr>
        <w:pStyle w:val="ZSessionDoc"/>
        <w:rPr>
          <w:b/>
          <w:i w:val="0"/>
          <w:lang w:val="fr-FR"/>
        </w:rPr>
      </w:pPr>
      <w:r w:rsidRPr="00E21D8A">
        <w:rPr>
          <w:b/>
          <w:i w:val="0"/>
          <w:lang w:val="fr-FR"/>
        </w:rPr>
        <w:t>TEXTES ADOPTÉS</w:t>
      </w:r>
    </w:p>
    <w:p w14:paraId="07BDDFF2" w14:textId="77777777" w:rsidR="008E7632" w:rsidRPr="00E21D8A" w:rsidRDefault="006165D2" w:rsidP="008E7632">
      <w:pPr>
        <w:pStyle w:val="LineBottom"/>
        <w:rPr>
          <w:lang w:val="fr-FR"/>
        </w:rPr>
      </w:pPr>
      <w:r w:rsidRPr="00E21D8A">
        <w:rPr>
          <w:rFonts w:cs="Arial"/>
          <w:i/>
          <w:sz w:val="20"/>
          <w:szCs w:val="22"/>
          <w:lang w:val="fr-FR"/>
        </w:rPr>
        <w:t xml:space="preserve"> </w:t>
      </w:r>
    </w:p>
    <w:p w14:paraId="1A44F6DF" w14:textId="70E79067" w:rsidR="009C4014" w:rsidRPr="00E21D8A" w:rsidRDefault="006165D2" w:rsidP="008E7632">
      <w:pPr>
        <w:pStyle w:val="ATHeading1"/>
        <w:spacing w:before="480"/>
      </w:pPr>
      <w:bookmarkStart w:id="0" w:name="TA_Heading"/>
      <w:r w:rsidRPr="00E21D8A">
        <w:t>P</w:t>
      </w:r>
      <w:r w:rsidR="00D3509F">
        <w:t>10</w:t>
      </w:r>
      <w:r w:rsidRPr="00E21D8A">
        <w:t>_TA(202</w:t>
      </w:r>
      <w:r w:rsidR="005C2E78">
        <w:t>6</w:t>
      </w:r>
      <w:r w:rsidRPr="00E21D8A">
        <w:t>)</w:t>
      </w:r>
      <w:bookmarkStart w:id="1" w:name="TANumber"/>
      <w:bookmarkEnd w:id="0"/>
      <w:r w:rsidRPr="00E21D8A">
        <w:t>00</w:t>
      </w:r>
      <w:r w:rsidR="000833DD">
        <w:t>36</w:t>
      </w:r>
      <w:bookmarkEnd w:id="1"/>
    </w:p>
    <w:p w14:paraId="62BF8614" w14:textId="3C88F68E" w:rsidR="009C4014" w:rsidRPr="00E21D8A" w:rsidRDefault="008F31DF" w:rsidP="006165D2">
      <w:pPr>
        <w:pStyle w:val="ATHeading2"/>
      </w:pPr>
      <w:bookmarkStart w:id="2" w:name="Etoiles"/>
      <w:bookmarkEnd w:id="2"/>
      <w:r w:rsidRPr="008F31DF">
        <w:t>Modification du règlement (UE) 2024/792 établissant la facilité pour l’Ukraine</w:t>
      </w:r>
    </w:p>
    <w:p w14:paraId="68878887" w14:textId="4C65E7CD" w:rsidR="009C4014" w:rsidRPr="00C31CF5" w:rsidRDefault="009C4014" w:rsidP="009C4014">
      <w:pPr>
        <w:rPr>
          <w:i/>
          <w:vanish/>
        </w:rPr>
      </w:pPr>
      <w:r w:rsidRPr="00C31CF5">
        <w:rPr>
          <w:i/>
        </w:rPr>
        <w:fldChar w:fldCharType="begin"/>
      </w:r>
      <w:r w:rsidRPr="00C31CF5">
        <w:rPr>
          <w:i/>
        </w:rPr>
        <w:instrText xml:space="preserve"> TC"</w:instrText>
      </w:r>
      <w:bookmarkStart w:id="3" w:name="DocNumber"/>
      <w:r w:rsidR="006165D2" w:rsidRPr="00C31CF5">
        <w:rPr>
          <w:i/>
        </w:rPr>
        <w:instrText>(C</w:instrText>
      </w:r>
      <w:r w:rsidR="00D3509F" w:rsidRPr="00C31CF5">
        <w:rPr>
          <w:i/>
        </w:rPr>
        <w:instrText>10</w:instrText>
      </w:r>
      <w:r w:rsidR="006165D2" w:rsidRPr="00C31CF5">
        <w:rPr>
          <w:i/>
        </w:rPr>
        <w:instrText>-0</w:instrText>
      </w:r>
      <w:r w:rsidR="00C2351E">
        <w:rPr>
          <w:i/>
        </w:rPr>
        <w:instrText>006</w:instrText>
      </w:r>
      <w:r w:rsidR="006165D2" w:rsidRPr="00C31CF5">
        <w:rPr>
          <w:i/>
        </w:rPr>
        <w:instrText>/202</w:instrText>
      </w:r>
      <w:r w:rsidR="00C2351E">
        <w:rPr>
          <w:i/>
        </w:rPr>
        <w:instrText>6</w:instrText>
      </w:r>
      <w:r w:rsidR="006165D2" w:rsidRPr="00C31CF5">
        <w:rPr>
          <w:i/>
        </w:rPr>
        <w:instrText>)</w:instrText>
      </w:r>
      <w:bookmarkEnd w:id="3"/>
      <w:r w:rsidRPr="00C31CF5">
        <w:rPr>
          <w:i/>
        </w:rPr>
        <w:instrText xml:space="preserve">"\l3 \n&gt; \* MERGEFORMAT </w:instrText>
      </w:r>
      <w:r w:rsidRPr="00C31CF5">
        <w:rPr>
          <w:i/>
        </w:rPr>
        <w:fldChar w:fldCharType="end"/>
      </w:r>
    </w:p>
    <w:p w14:paraId="328D8606" w14:textId="7F1E208E" w:rsidR="006165D2" w:rsidRPr="00C31CF5" w:rsidRDefault="00E21D8A" w:rsidP="009C4014">
      <w:pPr>
        <w:rPr>
          <w:vanish/>
        </w:rPr>
      </w:pPr>
      <w:bookmarkStart w:id="4" w:name="Commission"/>
      <w:r w:rsidRPr="00C31CF5">
        <w:rPr>
          <w:vanish/>
        </w:rPr>
        <w:t>Commission d</w:t>
      </w:r>
      <w:r w:rsidR="00D3509F" w:rsidRPr="00C31CF5">
        <w:rPr>
          <w:vanish/>
        </w:rPr>
        <w:t>e</w:t>
      </w:r>
      <w:r w:rsidR="00C2351E">
        <w:rPr>
          <w:vanish/>
        </w:rPr>
        <w:t>s affaires étrangères, Commission des budgets</w:t>
      </w:r>
    </w:p>
    <w:p w14:paraId="7A5B6BFE" w14:textId="6177389E" w:rsidR="009C4014" w:rsidRPr="00E21D8A" w:rsidRDefault="006165D2" w:rsidP="00D12B1A">
      <w:pPr>
        <w:spacing w:after="120"/>
        <w:rPr>
          <w:vanish/>
        </w:rPr>
      </w:pPr>
      <w:bookmarkStart w:id="5" w:name="PE"/>
      <w:bookmarkEnd w:id="4"/>
      <w:r w:rsidRPr="00C2351E">
        <w:rPr>
          <w:vanish/>
        </w:rPr>
        <w:t>P</w:t>
      </w:r>
      <w:r w:rsidR="00C84F77" w:rsidRPr="00C2351E">
        <w:rPr>
          <w:vanish/>
        </w:rPr>
        <w:t>E</w:t>
      </w:r>
      <w:r w:rsidR="00C2351E" w:rsidRPr="00C2351E">
        <w:rPr>
          <w:vanish/>
        </w:rPr>
        <w:t>783.083</w:t>
      </w:r>
      <w:bookmarkEnd w:id="5"/>
    </w:p>
    <w:p w14:paraId="6347276F" w14:textId="33F2DCAC" w:rsidR="00C2351E" w:rsidRPr="00C2351E" w:rsidRDefault="006165D2" w:rsidP="00C2351E">
      <w:pPr>
        <w:pStyle w:val="ATHeading3"/>
        <w:rPr>
          <w:lang w:val="fr-BE"/>
        </w:rPr>
      </w:pPr>
      <w:bookmarkStart w:id="6" w:name="Sujet"/>
      <w:r w:rsidRPr="00E21D8A">
        <w:t xml:space="preserve">Résolution législative </w:t>
      </w:r>
      <w:r w:rsidR="00D12B1A" w:rsidRPr="00E21D8A">
        <w:t xml:space="preserve">du Parlement européen </w:t>
      </w:r>
      <w:r w:rsidRPr="00E21D8A">
        <w:t xml:space="preserve">du </w:t>
      </w:r>
      <w:r w:rsidR="00C2351E">
        <w:t xml:space="preserve">11 février </w:t>
      </w:r>
      <w:r w:rsidRPr="00E21D8A">
        <w:t>202</w:t>
      </w:r>
      <w:r w:rsidR="00C2351E">
        <w:t>6</w:t>
      </w:r>
      <w:r w:rsidRPr="00E21D8A">
        <w:t xml:space="preserve"> </w:t>
      </w:r>
      <w:bookmarkStart w:id="7" w:name="References"/>
      <w:bookmarkEnd w:id="6"/>
      <w:r w:rsidR="00A5080E">
        <w:t>sur la p</w:t>
      </w:r>
      <w:r w:rsidR="00A5080E" w:rsidRPr="00A5080E">
        <w:t xml:space="preserve">roposition de </w:t>
      </w:r>
      <w:r w:rsidR="00C2351E">
        <w:t>règlement</w:t>
      </w:r>
      <w:r w:rsidR="00A5080E" w:rsidRPr="00802DE7">
        <w:t xml:space="preserve"> du Parlement</w:t>
      </w:r>
      <w:r w:rsidR="00A5080E">
        <w:t xml:space="preserve"> européen et du Conseil</w:t>
      </w:r>
      <w:r w:rsidR="00A5080E" w:rsidRPr="00A5080E">
        <w:t xml:space="preserve"> </w:t>
      </w:r>
      <w:r w:rsidR="00C2351E" w:rsidRPr="00C2351E">
        <w:t>modifiant le règlement (UE) 2024/792 établissant la facilité pour l’Ukraine</w:t>
      </w:r>
      <w:r w:rsidR="00C2351E">
        <w:t xml:space="preserve"> </w:t>
      </w:r>
      <w:r w:rsidR="00C2351E" w:rsidRPr="00C2351E">
        <w:rPr>
          <w:lang w:val="fr-BE"/>
        </w:rPr>
        <w:t>(COM(2026)0022 – C10-0006/2026 – 2026/0010(COD))</w:t>
      </w:r>
    </w:p>
    <w:p w14:paraId="752574D3" w14:textId="7846F6F1" w:rsidR="009C4014" w:rsidRPr="001F7244" w:rsidRDefault="006165D2" w:rsidP="00C2351E">
      <w:pPr>
        <w:pStyle w:val="ATHeading3"/>
      </w:pPr>
      <w:r w:rsidRPr="001F7244">
        <w:t>(Procédure</w:t>
      </w:r>
      <w:r w:rsidR="00C84F77" w:rsidRPr="001F7244">
        <w:t xml:space="preserve"> législative ordinaire: première lecture</w:t>
      </w:r>
      <w:r w:rsidRPr="001F7244">
        <w:t>)</w:t>
      </w:r>
      <w:bookmarkEnd w:id="7"/>
    </w:p>
    <w:p w14:paraId="38FFB418" w14:textId="77777777" w:rsidR="006E5420" w:rsidRPr="001F7244" w:rsidRDefault="006165D2" w:rsidP="00FB78C0">
      <w:pPr>
        <w:pStyle w:val="Normal12"/>
        <w:spacing w:before="240"/>
        <w:rPr>
          <w:i/>
          <w:szCs w:val="24"/>
          <w:lang w:val="fr-FR"/>
        </w:rPr>
      </w:pPr>
      <w:bookmarkStart w:id="8" w:name="TextBodyBegin"/>
      <w:bookmarkEnd w:id="8"/>
      <w:r w:rsidRPr="001F7244">
        <w:rPr>
          <w:i/>
          <w:szCs w:val="24"/>
          <w:lang w:val="fr-FR"/>
        </w:rPr>
        <w:t>Le Parlement européen,</w:t>
      </w:r>
    </w:p>
    <w:p w14:paraId="44ACD6DC" w14:textId="38307CF1" w:rsidR="00C84F77" w:rsidRPr="001F7244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1F7244">
        <w:t>–</w:t>
      </w:r>
      <w:r w:rsidRPr="001F7244">
        <w:tab/>
        <w:t>vu la proposition de la Commission au Parlement européen et au Conseil (COM(20</w:t>
      </w:r>
      <w:r w:rsidR="00D12B1A" w:rsidRPr="001F7244">
        <w:t>2</w:t>
      </w:r>
      <w:r w:rsidR="00C2351E">
        <w:t>6</w:t>
      </w:r>
      <w:r w:rsidR="00D12B1A" w:rsidRPr="001F7244">
        <w:t>)</w:t>
      </w:r>
      <w:r w:rsidR="00C2351E">
        <w:t>0</w:t>
      </w:r>
      <w:r w:rsidR="008F31DF">
        <w:t>0</w:t>
      </w:r>
      <w:r w:rsidR="00F16AA4">
        <w:t>2</w:t>
      </w:r>
      <w:r w:rsidR="00C2351E">
        <w:t>2</w:t>
      </w:r>
      <w:r w:rsidRPr="001F7244">
        <w:t>),</w:t>
      </w:r>
    </w:p>
    <w:p w14:paraId="35BB7D1B" w14:textId="62348C59" w:rsidR="00C84F77" w:rsidRPr="001F7244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hd w:val="pct12" w:color="auto" w:fill="FFFFFF"/>
        </w:rPr>
      </w:pPr>
      <w:r w:rsidRPr="001F7244">
        <w:t>–</w:t>
      </w:r>
      <w:r w:rsidRPr="001F7244">
        <w:tab/>
        <w:t xml:space="preserve">vu l’article 294, paragraphe 2, et l’article </w:t>
      </w:r>
      <w:r w:rsidR="00C2351E">
        <w:t>212</w:t>
      </w:r>
      <w:r w:rsidR="00D12B1A" w:rsidRPr="001F7244">
        <w:t>,</w:t>
      </w:r>
      <w:r w:rsidRPr="001F7244">
        <w:t xml:space="preserve"> du traité sur le fonctionnement de l’Union européenne, conformément auxquels la proposition lui a été présentée par la Commission (C</w:t>
      </w:r>
      <w:r w:rsidR="00D3509F" w:rsidRPr="001F7244">
        <w:t>10</w:t>
      </w:r>
      <w:r w:rsidRPr="001F7244">
        <w:noBreakHyphen/>
        <w:t>0</w:t>
      </w:r>
      <w:r w:rsidR="00C2351E">
        <w:t>006</w:t>
      </w:r>
      <w:r w:rsidRPr="001F7244">
        <w:t>/20</w:t>
      </w:r>
      <w:r w:rsidR="00D12B1A" w:rsidRPr="001F7244">
        <w:t>2</w:t>
      </w:r>
      <w:r w:rsidR="00C2351E">
        <w:t>6</w:t>
      </w:r>
      <w:r w:rsidRPr="001F7244">
        <w:t>),</w:t>
      </w:r>
    </w:p>
    <w:p w14:paraId="74BB3DB6" w14:textId="77777777" w:rsidR="00D12B1A" w:rsidRPr="00E21D8A" w:rsidRDefault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1F7244">
        <w:t>–</w:t>
      </w:r>
      <w:r w:rsidRPr="001F7244">
        <w:tab/>
        <w:t>vu l’article 294, paragraphe 3, du traité sur</w:t>
      </w:r>
      <w:r w:rsidRPr="00E21D8A">
        <w:t xml:space="preserve"> le fonctionnement de l’Union européenne,</w:t>
      </w:r>
    </w:p>
    <w:p w14:paraId="24BAA705" w14:textId="51D0C681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zCs w:val="24"/>
        </w:rPr>
      </w:pPr>
      <w:r w:rsidRPr="00E21D8A">
        <w:rPr>
          <w:lang w:val="fr-BE"/>
        </w:rPr>
        <w:t>–</w:t>
      </w:r>
      <w:r w:rsidRPr="00E21D8A">
        <w:rPr>
          <w:lang w:val="fr-BE"/>
        </w:rPr>
        <w:tab/>
      </w:r>
      <w:r w:rsidRPr="00E21D8A">
        <w:t>vu</w:t>
      </w:r>
      <w:r w:rsidRPr="00E21D8A">
        <w:rPr>
          <w:szCs w:val="24"/>
        </w:rPr>
        <w:t xml:space="preserve"> l’engagement pris par le représentant du Conseil, par lettre </w:t>
      </w:r>
      <w:r w:rsidRPr="00C2351E">
        <w:rPr>
          <w:szCs w:val="24"/>
        </w:rPr>
        <w:t xml:space="preserve">du </w:t>
      </w:r>
      <w:r w:rsidR="00C2351E" w:rsidRPr="00C2351E">
        <w:rPr>
          <w:szCs w:val="24"/>
        </w:rPr>
        <w:t>4 février 2026</w:t>
      </w:r>
      <w:r w:rsidRPr="00C2351E">
        <w:rPr>
          <w:szCs w:val="24"/>
        </w:rPr>
        <w:t>,</w:t>
      </w:r>
      <w:r w:rsidRPr="00E21D8A">
        <w:rPr>
          <w:szCs w:val="24"/>
        </w:rPr>
        <w:t xml:space="preserve"> d'approuver la position du Parlement européen, conformément à l'article 294, paragraphe 4, du traité sur le fonctionnement de l'Union européenne,</w:t>
      </w:r>
    </w:p>
    <w:p w14:paraId="27A62CD4" w14:textId="3054FC53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 w:line="360" w:lineRule="auto"/>
        <w:ind w:left="567" w:hanging="567"/>
      </w:pPr>
      <w:r w:rsidRPr="00E21D8A">
        <w:rPr>
          <w:lang w:val="fr-BE"/>
        </w:rPr>
        <w:t>–</w:t>
      </w:r>
      <w:r w:rsidRPr="00E21D8A">
        <w:rPr>
          <w:lang w:val="fr-BE"/>
        </w:rPr>
        <w:tab/>
        <w:t xml:space="preserve">vu les </w:t>
      </w:r>
      <w:r w:rsidRPr="00C2351E">
        <w:rPr>
          <w:lang w:val="fr-BE"/>
        </w:rPr>
        <w:t xml:space="preserve">articles </w:t>
      </w:r>
      <w:r w:rsidR="00C2351E" w:rsidRPr="00C2351E">
        <w:rPr>
          <w:lang w:val="fr-BE"/>
        </w:rPr>
        <w:t>60</w:t>
      </w:r>
      <w:r w:rsidRPr="00C2351E">
        <w:rPr>
          <w:lang w:val="fr-BE"/>
        </w:rPr>
        <w:t xml:space="preserve"> et 1</w:t>
      </w:r>
      <w:r w:rsidR="00C2351E" w:rsidRPr="00C2351E">
        <w:rPr>
          <w:lang w:val="fr-BE"/>
        </w:rPr>
        <w:t>70</w:t>
      </w:r>
      <w:r w:rsidRPr="00C2351E">
        <w:rPr>
          <w:lang w:val="fr-BE"/>
        </w:rPr>
        <w:t xml:space="preserve"> de son règlement</w:t>
      </w:r>
      <w:r w:rsidRPr="00E21D8A">
        <w:rPr>
          <w:lang w:val="fr-BE"/>
        </w:rPr>
        <w:t xml:space="preserve"> intérieur, </w:t>
      </w:r>
    </w:p>
    <w:p w14:paraId="2D129BD5" w14:textId="7777777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E21D8A">
        <w:t>1.</w:t>
      </w:r>
      <w:r w:rsidRPr="00E21D8A">
        <w:tab/>
        <w:t>arrête la position en première lecture figurant ci-après;</w:t>
      </w:r>
    </w:p>
    <w:p w14:paraId="3DF0F38D" w14:textId="7E9BADA2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E21D8A">
        <w:t>2</w:t>
      </w:r>
      <w:r w:rsidR="005C2E78">
        <w:t>.</w:t>
      </w:r>
      <w:r w:rsidRPr="00E21D8A">
        <w:tab/>
        <w:t>demande à la Commission de le saisir à nouveau, si elle remplace, modifie de manière substantielle ou entend modifier de manière substantielle sa proposition;</w:t>
      </w:r>
    </w:p>
    <w:p w14:paraId="5FBC3266" w14:textId="7777777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E21D8A">
        <w:t>3.</w:t>
      </w:r>
      <w:r w:rsidRPr="00E21D8A">
        <w:tab/>
        <w:t>charge s</w:t>
      </w:r>
      <w:r w:rsidR="00277E81" w:rsidRPr="00E21D8A">
        <w:t>a</w:t>
      </w:r>
      <w:r w:rsidRPr="00E21D8A">
        <w:t xml:space="preserve"> Président</w:t>
      </w:r>
      <w:r w:rsidR="00277E81" w:rsidRPr="00E21D8A">
        <w:t>e</w:t>
      </w:r>
      <w:r w:rsidRPr="00E21D8A">
        <w:t xml:space="preserve"> de transmettre la position du Parlement au Conseil et à la Commission ainsi qu’aux parlements nationaux.</w:t>
      </w:r>
    </w:p>
    <w:p w14:paraId="51E66C83" w14:textId="77777777" w:rsidR="00277E81" w:rsidRPr="00E21D8A" w:rsidRDefault="00277E81">
      <w:pPr>
        <w:rPr>
          <w:i/>
          <w:szCs w:val="24"/>
        </w:rPr>
        <w:sectPr w:rsidR="00277E81" w:rsidRPr="00E21D8A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0FDDC84A" w14:textId="3B4E1051" w:rsidR="00D12B1A" w:rsidRPr="00E21D8A" w:rsidRDefault="00D12B1A" w:rsidP="00D12B1A">
      <w:pPr>
        <w:spacing w:after="240"/>
        <w:rPr>
          <w:b/>
        </w:rPr>
      </w:pPr>
      <w:r w:rsidRPr="00E21D8A">
        <w:rPr>
          <w:b/>
        </w:rPr>
        <w:lastRenderedPageBreak/>
        <w:t>P</w:t>
      </w:r>
      <w:r w:rsidR="0071399A">
        <w:rPr>
          <w:b/>
        </w:rPr>
        <w:t>10</w:t>
      </w:r>
      <w:r w:rsidRPr="00E21D8A">
        <w:rPr>
          <w:b/>
        </w:rPr>
        <w:t>_</w:t>
      </w:r>
      <w:r w:rsidRPr="00A5080E">
        <w:rPr>
          <w:b/>
        </w:rPr>
        <w:t>TC1-COD(20</w:t>
      </w:r>
      <w:r w:rsidR="00252B47" w:rsidRPr="00A5080E">
        <w:rPr>
          <w:b/>
        </w:rPr>
        <w:t>2</w:t>
      </w:r>
      <w:r w:rsidR="00C2351E">
        <w:rPr>
          <w:b/>
        </w:rPr>
        <w:t>6</w:t>
      </w:r>
      <w:r w:rsidRPr="00A5080E">
        <w:rPr>
          <w:b/>
        </w:rPr>
        <w:t>)0</w:t>
      </w:r>
      <w:r w:rsidR="00C2351E">
        <w:rPr>
          <w:b/>
        </w:rPr>
        <w:t>010</w:t>
      </w:r>
    </w:p>
    <w:p w14:paraId="45AE3F41" w14:textId="5275BE64" w:rsidR="00C2351E" w:rsidRDefault="00D12B1A" w:rsidP="00C2351E">
      <w:pPr>
        <w:pStyle w:val="Normal12"/>
        <w:spacing w:before="120"/>
        <w:rPr>
          <w:rFonts w:eastAsia="Calibri"/>
          <w:b/>
          <w:noProof/>
          <w:szCs w:val="22"/>
          <w:lang w:val="fr-BE" w:eastAsia="en-US"/>
        </w:rPr>
      </w:pPr>
      <w:r w:rsidRPr="00E21D8A">
        <w:rPr>
          <w:b/>
          <w:lang w:val="fr-BE"/>
        </w:rPr>
        <w:t xml:space="preserve">Position du Parlement européen arrêtée en première lecture le </w:t>
      </w:r>
      <w:r w:rsidR="00C2351E">
        <w:rPr>
          <w:b/>
          <w:lang w:val="fr-BE"/>
        </w:rPr>
        <w:t>11 février</w:t>
      </w:r>
      <w:r w:rsidR="00A5080E">
        <w:rPr>
          <w:b/>
          <w:lang w:val="fr-BE"/>
        </w:rPr>
        <w:t xml:space="preserve"> 202</w:t>
      </w:r>
      <w:r w:rsidR="00C2351E">
        <w:rPr>
          <w:b/>
          <w:lang w:val="fr-BE"/>
        </w:rPr>
        <w:t>6</w:t>
      </w:r>
      <w:r w:rsidR="00275B68">
        <w:rPr>
          <w:b/>
          <w:lang w:val="fr-BE"/>
        </w:rPr>
        <w:t xml:space="preserve"> en vue de l’adoption d</w:t>
      </w:r>
      <w:r w:rsidR="00F0635C">
        <w:rPr>
          <w:b/>
          <w:lang w:val="fr-BE"/>
        </w:rPr>
        <w:t>u règlement</w:t>
      </w:r>
      <w:r w:rsidRPr="00802DE7">
        <w:rPr>
          <w:b/>
          <w:lang w:val="fr-BE"/>
        </w:rPr>
        <w:t xml:space="preserve"> (UE) 202</w:t>
      </w:r>
      <w:r w:rsidR="00C2351E">
        <w:rPr>
          <w:b/>
          <w:lang w:val="fr-BE"/>
        </w:rPr>
        <w:t>6</w:t>
      </w:r>
      <w:r w:rsidRPr="00802DE7">
        <w:rPr>
          <w:b/>
          <w:lang w:val="fr-BE"/>
        </w:rPr>
        <w:t xml:space="preserve">/... du Parlement européen </w:t>
      </w:r>
      <w:bookmarkStart w:id="9" w:name="_Hlk194847095"/>
      <w:r w:rsidR="00F0635C">
        <w:rPr>
          <w:b/>
          <w:lang w:val="fr-BE"/>
        </w:rPr>
        <w:t xml:space="preserve">et du Conseil </w:t>
      </w:r>
      <w:r w:rsidR="00C2351E" w:rsidRPr="00C2351E">
        <w:rPr>
          <w:rFonts w:eastAsia="Calibri"/>
          <w:b/>
          <w:noProof/>
          <w:szCs w:val="22"/>
          <w:lang w:val="fr-BE" w:eastAsia="en-US"/>
        </w:rPr>
        <w:t>modifiant le règlement (UE) 2024/792 établissant la facilité pour l’Ukraine</w:t>
      </w:r>
    </w:p>
    <w:p w14:paraId="302925DB" w14:textId="47C4727A" w:rsidR="00E57DD7" w:rsidRPr="00E57DD7" w:rsidRDefault="00E57DD7" w:rsidP="00E57DD7">
      <w:pPr>
        <w:pStyle w:val="Datedadoption"/>
        <w:spacing w:after="240" w:line="240" w:lineRule="auto"/>
        <w:jc w:val="left"/>
        <w:rPr>
          <w:rFonts w:eastAsia="Calibri"/>
          <w:b w:val="0"/>
          <w:noProof/>
          <w:szCs w:val="22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b w:val="0"/>
          <w:i/>
          <w:szCs w:val="24"/>
        </w:rPr>
        <w:t>6</w:t>
      </w:r>
      <w:r w:rsidRPr="0070765D">
        <w:rPr>
          <w:b w:val="0"/>
          <w:i/>
          <w:szCs w:val="24"/>
        </w:rPr>
        <w:t>/</w:t>
      </w:r>
      <w:r>
        <w:rPr>
          <w:b w:val="0"/>
          <w:i/>
          <w:szCs w:val="24"/>
        </w:rPr>
        <w:t>468</w:t>
      </w:r>
      <w:r w:rsidRPr="0070765D">
        <w:rPr>
          <w:b w:val="0"/>
          <w:i/>
          <w:szCs w:val="24"/>
        </w:rPr>
        <w:t>.)</w:t>
      </w:r>
    </w:p>
    <w:bookmarkEnd w:id="9"/>
    <w:sectPr w:rsidR="00E57DD7" w:rsidRPr="00E57DD7" w:rsidSect="00277E81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8953A" w14:textId="77777777" w:rsidR="006165D2" w:rsidRDefault="006165D2" w:rsidP="009C4014">
      <w:r>
        <w:separator/>
      </w:r>
    </w:p>
  </w:endnote>
  <w:endnote w:type="continuationSeparator" w:id="0">
    <w:p w14:paraId="6027009E" w14:textId="77777777" w:rsidR="006165D2" w:rsidRDefault="006165D2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7CAD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5641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6B39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634BD" w14:textId="77777777" w:rsidR="006165D2" w:rsidRDefault="006165D2" w:rsidP="009C4014">
      <w:r>
        <w:separator/>
      </w:r>
    </w:p>
  </w:footnote>
  <w:footnote w:type="continuationSeparator" w:id="0">
    <w:p w14:paraId="7C23E930" w14:textId="77777777" w:rsidR="006165D2" w:rsidRDefault="006165D2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C6D7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808D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4F46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32189212">
    <w:abstractNumId w:val="3"/>
  </w:num>
  <w:num w:numId="2" w16cid:durableId="1475679427">
    <w:abstractNumId w:val="2"/>
  </w:num>
  <w:num w:numId="3" w16cid:durableId="679770551">
    <w:abstractNumId w:val="1"/>
  </w:num>
  <w:num w:numId="4" w16cid:durableId="172577639">
    <w:abstractNumId w:val="0"/>
  </w:num>
  <w:num w:numId="5" w16cid:durableId="84041273">
    <w:abstractNumId w:val="6"/>
  </w:num>
  <w:num w:numId="6" w16cid:durableId="425539592">
    <w:abstractNumId w:val="5"/>
  </w:num>
  <w:num w:numId="7" w16cid:durableId="923339138">
    <w:abstractNumId w:val="4"/>
  </w:num>
  <w:num w:numId="8" w16cid:durableId="1020624260">
    <w:abstractNumId w:val="7"/>
  </w:num>
  <w:num w:numId="9" w16cid:durableId="338503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D2"/>
    <w:rsid w:val="00005909"/>
    <w:rsid w:val="00013B2A"/>
    <w:rsid w:val="000833DD"/>
    <w:rsid w:val="000C2BFE"/>
    <w:rsid w:val="000F27A9"/>
    <w:rsid w:val="000F6208"/>
    <w:rsid w:val="00125CBC"/>
    <w:rsid w:val="00172070"/>
    <w:rsid w:val="00185E15"/>
    <w:rsid w:val="001A4CEE"/>
    <w:rsid w:val="001D4BBF"/>
    <w:rsid w:val="001D63A8"/>
    <w:rsid w:val="001F4463"/>
    <w:rsid w:val="001F7244"/>
    <w:rsid w:val="002107FD"/>
    <w:rsid w:val="00237393"/>
    <w:rsid w:val="00252B47"/>
    <w:rsid w:val="00275B68"/>
    <w:rsid w:val="00277E81"/>
    <w:rsid w:val="002924A9"/>
    <w:rsid w:val="002A1D4E"/>
    <w:rsid w:val="002B4BCF"/>
    <w:rsid w:val="002F1925"/>
    <w:rsid w:val="00300C61"/>
    <w:rsid w:val="00312A38"/>
    <w:rsid w:val="003202DD"/>
    <w:rsid w:val="00371341"/>
    <w:rsid w:val="003775B9"/>
    <w:rsid w:val="00397B2A"/>
    <w:rsid w:val="003A1FC2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C2E78"/>
    <w:rsid w:val="005F0CA1"/>
    <w:rsid w:val="005F35F8"/>
    <w:rsid w:val="00600437"/>
    <w:rsid w:val="00603B14"/>
    <w:rsid w:val="006165D2"/>
    <w:rsid w:val="006454C4"/>
    <w:rsid w:val="006656E5"/>
    <w:rsid w:val="00666512"/>
    <w:rsid w:val="00683F78"/>
    <w:rsid w:val="006A1E82"/>
    <w:rsid w:val="006A7C85"/>
    <w:rsid w:val="006A7CE5"/>
    <w:rsid w:val="006B1646"/>
    <w:rsid w:val="006C57A1"/>
    <w:rsid w:val="006E5420"/>
    <w:rsid w:val="006F135E"/>
    <w:rsid w:val="00700F63"/>
    <w:rsid w:val="0071399A"/>
    <w:rsid w:val="00742568"/>
    <w:rsid w:val="00751383"/>
    <w:rsid w:val="00757DD5"/>
    <w:rsid w:val="00760EC5"/>
    <w:rsid w:val="007713FD"/>
    <w:rsid w:val="00774A9B"/>
    <w:rsid w:val="007906DB"/>
    <w:rsid w:val="007B16FE"/>
    <w:rsid w:val="007C3388"/>
    <w:rsid w:val="00802DE7"/>
    <w:rsid w:val="00813247"/>
    <w:rsid w:val="008512F3"/>
    <w:rsid w:val="00857458"/>
    <w:rsid w:val="00873A0F"/>
    <w:rsid w:val="00895FA0"/>
    <w:rsid w:val="008A7294"/>
    <w:rsid w:val="008B1C2E"/>
    <w:rsid w:val="008D7C16"/>
    <w:rsid w:val="008E7632"/>
    <w:rsid w:val="008F0108"/>
    <w:rsid w:val="008F31DF"/>
    <w:rsid w:val="008F7F1C"/>
    <w:rsid w:val="00907FE0"/>
    <w:rsid w:val="00916CEE"/>
    <w:rsid w:val="009865B7"/>
    <w:rsid w:val="009B7E10"/>
    <w:rsid w:val="009C4014"/>
    <w:rsid w:val="009F28EF"/>
    <w:rsid w:val="00A1739E"/>
    <w:rsid w:val="00A5080E"/>
    <w:rsid w:val="00AC161E"/>
    <w:rsid w:val="00B54C72"/>
    <w:rsid w:val="00B85C1E"/>
    <w:rsid w:val="00BD6296"/>
    <w:rsid w:val="00C15516"/>
    <w:rsid w:val="00C16C81"/>
    <w:rsid w:val="00C2351E"/>
    <w:rsid w:val="00C31CF5"/>
    <w:rsid w:val="00C57739"/>
    <w:rsid w:val="00C65BE8"/>
    <w:rsid w:val="00C84F77"/>
    <w:rsid w:val="00CB21B9"/>
    <w:rsid w:val="00CB451F"/>
    <w:rsid w:val="00CC4897"/>
    <w:rsid w:val="00D12B1A"/>
    <w:rsid w:val="00D202A4"/>
    <w:rsid w:val="00D3509F"/>
    <w:rsid w:val="00D91669"/>
    <w:rsid w:val="00DB6A35"/>
    <w:rsid w:val="00DE0964"/>
    <w:rsid w:val="00DF097A"/>
    <w:rsid w:val="00DF53A8"/>
    <w:rsid w:val="00E039BF"/>
    <w:rsid w:val="00E11822"/>
    <w:rsid w:val="00E21D8A"/>
    <w:rsid w:val="00E57DD7"/>
    <w:rsid w:val="00E73B02"/>
    <w:rsid w:val="00E74BF3"/>
    <w:rsid w:val="00EF3610"/>
    <w:rsid w:val="00F0635C"/>
    <w:rsid w:val="00F16AA4"/>
    <w:rsid w:val="00F177A4"/>
    <w:rsid w:val="00F24C65"/>
    <w:rsid w:val="00F97E29"/>
    <w:rsid w:val="00FB1507"/>
    <w:rsid w:val="00FB3609"/>
    <w:rsid w:val="00FB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CA3B6"/>
  <w15:chartTrackingRefBased/>
  <w15:docId w15:val="{2CEB02FE-4BF1-400A-BC24-56C5622E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B1A"/>
    <w:rPr>
      <w:sz w:val="22"/>
      <w:lang w:val="fr-FR"/>
    </w:rPr>
  </w:style>
  <w:style w:type="character" w:styleId="Hyperlink">
    <w:name w:val="Hyperlink"/>
    <w:uiPriority w:val="99"/>
    <w:rsid w:val="00802DE7"/>
    <w:rPr>
      <w:color w:val="0000FF"/>
      <w:u w:val="single"/>
    </w:rPr>
  </w:style>
  <w:style w:type="paragraph" w:styleId="Revision">
    <w:name w:val="Revision"/>
    <w:hidden/>
    <w:uiPriority w:val="99"/>
    <w:semiHidden/>
    <w:rsid w:val="008F31DF"/>
    <w:rPr>
      <w:sz w:val="24"/>
      <w:lang w:val="fr-FR"/>
    </w:rPr>
  </w:style>
  <w:style w:type="paragraph" w:customStyle="1" w:styleId="Datedadoption">
    <w:name w:val="Date d'adoption"/>
    <w:basedOn w:val="Normal"/>
    <w:next w:val="Normal"/>
    <w:rsid w:val="00E57DD7"/>
    <w:pPr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0EB55-C090-4BA5-B251-C6993EB6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271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DELECROIX Dorothee</dc:creator>
  <cp:keywords/>
  <cp:lastModifiedBy>DELECROIX Dorothee</cp:lastModifiedBy>
  <cp:revision>2</cp:revision>
  <cp:lastPrinted>2014-08-07T13:15:00Z</cp:lastPrinted>
  <dcterms:created xsi:type="dcterms:W3CDTF">2026-03-24T09:20:00Z</dcterms:created>
  <dcterms:modified xsi:type="dcterms:W3CDTF">2026-03-24T09:20:00Z</dcterms:modified>
</cp:coreProperties>
</file>